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andard"/>
        <w:tabs>
          <w:tab w:val="clear" w:pos="709"/>
          <w:tab w:val="center" w:pos="4819" w:leader="none"/>
        </w:tabs>
        <w:jc w:val="both"/>
        <w:rPr>
          <w:rFonts w:ascii="Times New Roman" w:hAnsi="Times New Roman"/>
        </w:rPr>
      </w:pPr>
      <w:r>
        <w:drawing>
          <wp:anchor behindDoc="0" distT="0" distB="0" distL="114300" distR="114300" simplePos="0" locked="0" layoutInCell="0" allowOverlap="1" relativeHeight="3">
            <wp:simplePos x="0" y="0"/>
            <wp:positionH relativeFrom="column">
              <wp:align>center</wp:align>
            </wp:positionH>
            <wp:positionV relativeFrom="paragraph">
              <wp:posOffset>635</wp:posOffset>
            </wp:positionV>
            <wp:extent cx="6120130" cy="1873250"/>
            <wp:effectExtent l="0" t="0" r="0" b="0"/>
            <wp:wrapSquare wrapText="bothSides"/>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6120130" cy="1873250"/>
                    </a:xfrm>
                    <a:prstGeom prst="rect">
                      <a:avLst/>
                    </a:prstGeom>
                  </pic:spPr>
                </pic:pic>
              </a:graphicData>
            </a:graphic>
          </wp:anchor>
        </w:drawing>
      </w:r>
      <w:r>
        <w:rPr>
          <w:rFonts w:ascii="Times New Roman" w:hAnsi="Times New Roman"/>
        </w:rPr>
        <w:tab/>
      </w:r>
    </w:p>
    <w:p>
      <w:pPr>
        <w:pStyle w:val="Standard"/>
        <w:tabs>
          <w:tab w:val="clear" w:pos="709"/>
          <w:tab w:val="left" w:pos="3281" w:leader="none"/>
        </w:tabs>
        <w:jc w:val="both"/>
        <w:rPr>
          <w:rFonts w:ascii="Times New Roman" w:hAnsi="Times New Roman"/>
        </w:rPr>
      </w:pPr>
      <w:r>
        <w:rPr>
          <w:rFonts w:ascii="Times New Roman" w:hAnsi="Times New Roman"/>
        </w:rPr>
        <w:tab/>
      </w:r>
    </w:p>
    <w:p>
      <w:pPr>
        <w:pStyle w:val="Standard"/>
        <w:tabs>
          <w:tab w:val="clear" w:pos="709"/>
          <w:tab w:val="left" w:pos="3281" w:leader="none"/>
        </w:tabs>
        <w:jc w:val="both"/>
        <w:rPr>
          <w:rFonts w:ascii="Times New Roman" w:hAnsi="Times New Roman"/>
        </w:rPr>
      </w:pPr>
      <w:r>
        <w:rPr/>
        <w:drawing>
          <wp:inline distT="0" distB="0" distL="0" distR="0">
            <wp:extent cx="6120130" cy="680720"/>
            <wp:effectExtent l="0" t="0" r="0" b="0"/>
            <wp:docPr id="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 descr=""/>
                    <pic:cNvPicPr>
                      <a:picLocks noChangeAspect="1" noChangeArrowheads="1"/>
                    </pic:cNvPicPr>
                  </pic:nvPicPr>
                  <pic:blipFill>
                    <a:blip r:embed="rId3"/>
                    <a:stretch>
                      <a:fillRect/>
                    </a:stretch>
                  </pic:blipFill>
                  <pic:spPr bwMode="auto">
                    <a:xfrm>
                      <a:off x="0" y="0"/>
                      <a:ext cx="6120130" cy="680720"/>
                    </a:xfrm>
                    <a:prstGeom prst="rect">
                      <a:avLst/>
                    </a:prstGeom>
                  </pic:spPr>
                </pic:pic>
              </a:graphicData>
            </a:graphic>
          </wp:inline>
        </w:drawing>
      </w:r>
    </w:p>
    <w:p>
      <w:pPr>
        <w:pStyle w:val="Standard"/>
        <w:jc w:val="center"/>
        <w:rPr>
          <w:rFonts w:ascii="Times New Roman" w:hAnsi="Times New Roman"/>
          <w:b/>
          <w:b/>
          <w:bCs/>
          <w:sz w:val="28"/>
          <w:szCs w:val="28"/>
        </w:rPr>
      </w:pPr>
      <w:r>
        <w:rPr>
          <w:rFonts w:ascii="Times New Roman" w:hAnsi="Times New Roman"/>
          <w:b/>
          <w:bCs/>
          <w:sz w:val="28"/>
          <w:szCs w:val="28"/>
        </w:rPr>
      </w:r>
    </w:p>
    <w:p>
      <w:pPr>
        <w:pStyle w:val="Standard"/>
        <w:jc w:val="center"/>
        <w:rPr>
          <w:rFonts w:ascii="Times New Roman" w:hAnsi="Times New Roman"/>
          <w:b/>
          <w:b/>
          <w:bCs/>
          <w:sz w:val="28"/>
          <w:szCs w:val="28"/>
        </w:rPr>
      </w:pPr>
      <w:r>
        <w:rPr>
          <w:rFonts w:ascii="Times New Roman" w:hAnsi="Times New Roman"/>
          <w:b/>
          <w:bCs/>
          <w:sz w:val="28"/>
          <w:szCs w:val="28"/>
        </w:rPr>
        <w:t xml:space="preserve">  </w:t>
      </w:r>
    </w:p>
    <w:p>
      <w:pPr>
        <w:pStyle w:val="Standard"/>
        <w:jc w:val="center"/>
        <w:rPr>
          <w:sz w:val="32"/>
          <w:szCs w:val="32"/>
        </w:rPr>
      </w:pPr>
      <w:r>
        <w:rPr>
          <w:rFonts w:ascii="Times New Roman" w:hAnsi="Times New Roman"/>
          <w:b/>
          <w:bCs/>
          <w:sz w:val="32"/>
          <w:szCs w:val="32"/>
        </w:rPr>
        <w:t>PROYECTOS FINANCIADOS CON FONDOS NEXT GENERATION EU</w:t>
      </w:r>
    </w:p>
    <w:p>
      <w:pPr>
        <w:pStyle w:val="Standard"/>
        <w:jc w:val="center"/>
        <w:rPr>
          <w:sz w:val="32"/>
          <w:szCs w:val="32"/>
        </w:rPr>
      </w:pPr>
      <w:r>
        <w:rPr>
          <w:rFonts w:ascii="Times New Roman" w:hAnsi="Times New Roman"/>
          <w:b/>
          <w:bCs/>
          <w:sz w:val="32"/>
          <w:szCs w:val="32"/>
        </w:rPr>
        <w:t>__________________________</w:t>
      </w:r>
    </w:p>
    <w:p>
      <w:pPr>
        <w:pStyle w:val="Standard"/>
        <w:jc w:val="center"/>
        <w:rPr>
          <w:rFonts w:ascii="Times New Roman" w:hAnsi="Times New Roman"/>
          <w:b/>
          <w:b/>
          <w:bCs/>
        </w:rPr>
      </w:pPr>
      <w:r>
        <w:rPr>
          <w:sz w:val="32"/>
          <w:szCs w:val="32"/>
        </w:rPr>
      </w:r>
    </w:p>
    <w:p>
      <w:pPr>
        <w:pStyle w:val="Standard"/>
        <w:jc w:val="center"/>
        <w:rPr>
          <w:rFonts w:ascii="Times New Roman" w:hAnsi="Times New Roman"/>
          <w:b/>
          <w:b/>
          <w:bCs/>
        </w:rPr>
      </w:pPr>
      <w:r>
        <w:rPr>
          <w:sz w:val="32"/>
          <w:szCs w:val="32"/>
        </w:rPr>
      </w:r>
    </w:p>
    <w:p>
      <w:pPr>
        <w:pStyle w:val="Standard"/>
        <w:jc w:val="both"/>
        <w:rPr>
          <w:rFonts w:ascii="Times New Roman" w:hAnsi="Times New Roman"/>
        </w:rPr>
      </w:pPr>
      <w:r>
        <w:rPr>
          <w:rFonts w:ascii="Times New Roman" w:hAnsi="Times New Roman"/>
        </w:rPr>
      </w:r>
    </w:p>
    <w:p>
      <w:pPr>
        <w:pStyle w:val="Standard"/>
        <w:jc w:val="both"/>
        <w:rPr>
          <w:sz w:val="26"/>
          <w:szCs w:val="26"/>
        </w:rPr>
      </w:pPr>
      <w:r>
        <w:rPr>
          <w:rFonts w:ascii="Times New Roman" w:hAnsi="Times New Roman"/>
          <w:sz w:val="26"/>
          <w:szCs w:val="26"/>
        </w:rPr>
        <w:t>1.-</w:t>
      </w:r>
      <w:r>
        <w:rPr>
          <w:rFonts w:ascii="Times New Roman" w:hAnsi="Times New Roman"/>
          <w:b/>
          <w:bCs/>
          <w:sz w:val="26"/>
          <w:szCs w:val="26"/>
        </w:rPr>
        <w:t>Localizador C22.I02.P02.S14.SI01.S09 Código Provisional C22.I02.P02.S14.SI01.PROVISIONAL.S02.</w:t>
      </w:r>
    </w:p>
    <w:p>
      <w:pPr>
        <w:pStyle w:val="Standard"/>
        <w:jc w:val="both"/>
        <w:rPr>
          <w:rFonts w:ascii="Times New Roman" w:hAnsi="Times New Roman"/>
          <w:b/>
          <w:b/>
          <w:bCs/>
          <w:sz w:val="23"/>
          <w:szCs w:val="23"/>
        </w:rPr>
      </w:pPr>
      <w:r>
        <w:rPr/>
      </w:r>
    </w:p>
    <w:p>
      <w:pPr>
        <w:pStyle w:val="Standard"/>
        <w:jc w:val="both"/>
        <w:rPr>
          <w:rFonts w:ascii="Times New Roman" w:hAnsi="Times New Roman"/>
          <w:b/>
          <w:b/>
          <w:bCs/>
          <w:sz w:val="23"/>
          <w:szCs w:val="23"/>
        </w:rPr>
      </w:pPr>
      <w:r>
        <w:rPr>
          <w:rFonts w:ascii="Times New Roman" w:hAnsi="Times New Roman"/>
          <w:b/>
          <w:bCs/>
          <w:sz w:val="23"/>
          <w:szCs w:val="23"/>
        </w:rPr>
        <w:t>Denominación: Subproyecto anidado hito 325 del SI IMAS, P18-CONVENIO, a través del Ayuntamiento de Puerto Lumbreras. Publicación BDNS 833594</w:t>
      </w:r>
      <w:r>
        <w:rPr>
          <w:rFonts w:ascii="Times New Roman" w:hAnsi="Times New Roman"/>
          <w:sz w:val="23"/>
          <w:szCs w:val="23"/>
        </w:rPr>
        <w:t xml:space="preserve"> </w:t>
      </w:r>
      <w:r>
        <w:rPr>
          <w:rFonts w:ascii="Times New Roman" w:hAnsi="Times New Roman"/>
          <w:b/>
          <w:bCs/>
          <w:sz w:val="23"/>
          <w:szCs w:val="23"/>
        </w:rPr>
        <w:t>Decreto n.º 26/2025, de 10 de abril, por el que se regula la concesión directa de subvenciones a ayuntamientos y mancomunidades de servicios sociales de la Región de Murcia para el impulso de la utilización de las tecnologías de la información y la comunicación (TIC) en los servicios sociales de atención primaria (SSAP) de las entidades locales, en el marco del Plan de Recuperación, Transformación y Resiliencia, financiados por la Unión Europea – NextGenerationEU-.</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b/>
          <w:bCs/>
          <w:sz w:val="23"/>
          <w:szCs w:val="23"/>
        </w:rPr>
        <w:t>Descripción:</w:t>
      </w:r>
      <w:r>
        <w:rPr>
          <w:rFonts w:ascii="Times New Roman" w:hAnsi="Times New Roman"/>
          <w:sz w:val="23"/>
          <w:szCs w:val="23"/>
        </w:rPr>
        <w:t xml:space="preserve"> Adquisición de equipamiento informático en base a las necesidades detectadas actuales y futuras del Centro de Servicios Sociales del Ayuntamiento de Puerto Lumbreras.</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b/>
          <w:bCs/>
          <w:sz w:val="23"/>
          <w:szCs w:val="23"/>
        </w:rPr>
        <w:t xml:space="preserve">Administración convocante: </w:t>
      </w:r>
      <w:r>
        <w:rPr>
          <w:rFonts w:ascii="Times New Roman" w:hAnsi="Times New Roman"/>
          <w:sz w:val="23"/>
          <w:szCs w:val="23"/>
        </w:rPr>
        <w:t>Consejería de Política Social, Familias e Igualdad, Instituto Murciano de Acción Social.</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b/>
          <w:bCs/>
          <w:sz w:val="23"/>
          <w:szCs w:val="23"/>
        </w:rPr>
        <w:t>Importe concedido:</w:t>
      </w:r>
      <w:r>
        <w:rPr>
          <w:rFonts w:ascii="Times New Roman" w:hAnsi="Times New Roman"/>
          <w:sz w:val="23"/>
          <w:szCs w:val="23"/>
        </w:rPr>
        <w:t>17.520,00€,</w:t>
      </w:r>
    </w:p>
    <w:p>
      <w:pPr>
        <w:pStyle w:val="Standard"/>
        <w:jc w:val="both"/>
        <w:rPr>
          <w:rFonts w:ascii="Times New Roman" w:hAnsi="Times New Roman"/>
          <w:b/>
          <w:b/>
          <w:bCs/>
          <w:sz w:val="23"/>
          <w:szCs w:val="23"/>
        </w:rPr>
      </w:pPr>
      <w:r>
        <w:rPr>
          <w:rFonts w:ascii="Times New Roman" w:hAnsi="Times New Roman"/>
          <w:b/>
          <w:bCs/>
          <w:sz w:val="23"/>
          <w:szCs w:val="23"/>
        </w:rPr>
        <w:t xml:space="preserve">Estado de ejecución: </w:t>
      </w:r>
      <w:r>
        <w:rPr>
          <w:rFonts w:ascii="Times New Roman" w:hAnsi="Times New Roman"/>
          <w:sz w:val="23"/>
          <w:szCs w:val="23"/>
        </w:rPr>
        <w:t>Proyecto en desarrollo</w:t>
      </w:r>
    </w:p>
    <w:p>
      <w:pPr>
        <w:pStyle w:val="Standard"/>
        <w:jc w:val="both"/>
        <w:rPr>
          <w:rFonts w:ascii="Times New Roman" w:hAnsi="Times New Roman"/>
          <w:sz w:val="23"/>
          <w:szCs w:val="23"/>
        </w:rPr>
      </w:pPr>
      <w:r>
        <w:rPr>
          <w:rFonts w:ascii="Times New Roman" w:hAnsi="Times New Roman"/>
          <w:b/>
          <w:bCs/>
          <w:sz w:val="23"/>
          <w:szCs w:val="23"/>
        </w:rPr>
        <w:t>Periodo de ejecución:</w:t>
      </w:r>
      <w:r>
        <w:rPr>
          <w:rFonts w:ascii="Times New Roman" w:hAnsi="Times New Roman"/>
          <w:sz w:val="23"/>
          <w:szCs w:val="23"/>
        </w:rPr>
        <w:t xml:space="preserve"> Hasta el 31 de Octubre 2025</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bookmarkStart w:id="0" w:name="_Hlk220314887"/>
      <w:bookmarkStart w:id="1" w:name="_Hlk220314796"/>
      <w:r>
        <w:rPr>
          <w:rFonts w:ascii="Times New Roman" w:hAnsi="Times New Roman"/>
          <w:b/>
          <w:bCs/>
          <w:sz w:val="23"/>
          <w:szCs w:val="23"/>
          <w:u w:val="single"/>
        </w:rPr>
        <w:t>INCLUÍDA en la anterior</w:t>
      </w:r>
      <w:r>
        <w:rPr>
          <w:rFonts w:ascii="Times New Roman" w:hAnsi="Times New Roman"/>
          <w:b/>
          <w:bCs/>
          <w:sz w:val="23"/>
          <w:szCs w:val="23"/>
        </w:rPr>
        <w:t>:</w:t>
      </w:r>
      <w:r>
        <w:rPr>
          <w:rFonts w:ascii="Times New Roman" w:hAnsi="Times New Roman"/>
          <w:sz w:val="23"/>
          <w:szCs w:val="23"/>
        </w:rPr>
        <w:t xml:space="preserve"> </w:t>
      </w:r>
      <w:r>
        <w:rPr>
          <w:rFonts w:ascii="Times New Roman" w:hAnsi="Times New Roman"/>
          <w:b/>
          <w:bCs/>
          <w:sz w:val="23"/>
          <w:szCs w:val="23"/>
          <w:u w:val="single"/>
        </w:rPr>
        <w:t>Publicación BDNS 835539</w:t>
      </w:r>
      <w:r>
        <w:rPr>
          <w:rFonts w:ascii="Times New Roman" w:hAnsi="Times New Roman"/>
          <w:sz w:val="23"/>
          <w:szCs w:val="23"/>
        </w:rPr>
        <w:t xml:space="preserve"> </w:t>
      </w:r>
      <w:bookmarkEnd w:id="1"/>
      <w:r>
        <w:rPr>
          <w:rFonts w:ascii="Times New Roman" w:hAnsi="Times New Roman"/>
          <w:b/>
          <w:sz w:val="23"/>
          <w:szCs w:val="23"/>
        </w:rPr>
        <w:t xml:space="preserve">Decreto n.º 42/2025, de 15 de mayo, por el que se regula la concesión directa de subvenciones a municipios de la Región de Murcia para el desarrollo de proyectos piloto de innovación en la atención a las personas mayores, innovación en servicios sociales, dentro del Plan de Recuperación, Transformación y Resiliencia del mecanismo de recuperación y resiliencia Next Generation EU, en la Comunidad Autónoma de la Región de </w:t>
      </w:r>
      <w:r>
        <w:rPr>
          <w:rFonts w:ascii="Times New Roman" w:hAnsi="Times New Roman"/>
          <w:b/>
          <w:bCs/>
          <w:sz w:val="23"/>
          <w:szCs w:val="23"/>
        </w:rPr>
        <w:t>Murcia.</w:t>
      </w:r>
      <w:bookmarkEnd w:id="0"/>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b/>
          <w:bCs/>
          <w:sz w:val="23"/>
          <w:szCs w:val="23"/>
        </w:rPr>
        <w:t>Descripción:</w:t>
      </w:r>
      <w:r>
        <w:rPr>
          <w:rFonts w:ascii="Times New Roman" w:hAnsi="Times New Roman"/>
          <w:color w:val="000000"/>
          <w:sz w:val="23"/>
          <w:szCs w:val="23"/>
        </w:rPr>
        <w:t>" Proyecto Generación Activa potenciado la Autonomía, Participación y Visibilidad de la Personas Mayores en el municipio de Puerto Lumbreras”</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b/>
          <w:bCs/>
          <w:color w:val="000000"/>
          <w:sz w:val="23"/>
          <w:szCs w:val="23"/>
        </w:rPr>
        <w:t xml:space="preserve">Actuaciones: </w:t>
      </w:r>
      <w:r>
        <w:rPr>
          <w:rFonts w:ascii="Times New Roman" w:hAnsi="Times New Roman"/>
          <w:color w:val="000000"/>
          <w:sz w:val="23"/>
          <w:szCs w:val="23"/>
        </w:rPr>
        <w:t xml:space="preserve"> </w:t>
      </w:r>
    </w:p>
    <w:p>
      <w:pPr>
        <w:pStyle w:val="Standard"/>
        <w:jc w:val="both"/>
        <w:rPr>
          <w:rFonts w:ascii="Times New Roman" w:hAnsi="Times New Roman"/>
          <w:color w:val="000000"/>
          <w:sz w:val="23"/>
          <w:szCs w:val="23"/>
        </w:rPr>
      </w:pPr>
      <w:r>
        <w:rPr>
          <w:rFonts w:ascii="Times New Roman" w:hAnsi="Times New Roman"/>
          <w:color w:val="000000"/>
          <w:sz w:val="23"/>
          <w:szCs w:val="23"/>
        </w:rPr>
        <w:t>TALLER 1: EMPODERAMIENTO Y ENVEJECIMIENTO ACTIVO.</w:t>
      </w:r>
    </w:p>
    <w:p>
      <w:pPr>
        <w:pStyle w:val="Standard"/>
        <w:jc w:val="both"/>
        <w:rPr>
          <w:rFonts w:ascii="Times New Roman" w:hAnsi="Times New Roman"/>
          <w:color w:val="000000"/>
          <w:sz w:val="23"/>
          <w:szCs w:val="23"/>
        </w:rPr>
      </w:pPr>
      <w:r>
        <w:rPr>
          <w:rFonts w:ascii="Times New Roman" w:hAnsi="Times New Roman"/>
          <w:color w:val="000000"/>
          <w:sz w:val="23"/>
          <w:szCs w:val="23"/>
        </w:rPr>
        <w:t>TALLER 2: CUIDADO DE LA SALUD MENTAL EN LAS PERSONAS MAYORES.</w:t>
      </w:r>
    </w:p>
    <w:p>
      <w:pPr>
        <w:pStyle w:val="Standard"/>
        <w:rPr>
          <w:rFonts w:ascii="Times New Roman" w:hAnsi="Times New Roman"/>
          <w:color w:val="000000"/>
          <w:sz w:val="23"/>
          <w:szCs w:val="23"/>
        </w:rPr>
      </w:pPr>
      <w:r>
        <w:rPr>
          <w:rFonts w:ascii="Times New Roman" w:hAnsi="Times New Roman"/>
          <w:color w:val="000000"/>
          <w:sz w:val="23"/>
          <w:szCs w:val="23"/>
        </w:rPr>
        <w:t>TALLER 3: AUTONOMÍA DIGITAL PARA PERSONAS MAYORES.</w:t>
      </w:r>
    </w:p>
    <w:p>
      <w:pPr>
        <w:pStyle w:val="Standard"/>
        <w:rPr>
          <w:rFonts w:ascii="Times New Roman" w:hAnsi="Times New Roman"/>
          <w:sz w:val="23"/>
          <w:szCs w:val="23"/>
        </w:rPr>
      </w:pPr>
      <w:r>
        <w:rPr>
          <w:rFonts w:ascii="Times New Roman" w:hAnsi="Times New Roman"/>
          <w:color w:val="000000"/>
          <w:sz w:val="23"/>
          <w:szCs w:val="23"/>
        </w:rPr>
        <w:t>TALLER 4: TEATRO Y EXPRESIÓN CORPORAL PARA</w:t>
      </w:r>
      <w:r>
        <w:rPr>
          <w:rFonts w:ascii="Times New Roman" w:hAnsi="Times New Roman"/>
          <w:b/>
          <w:bCs/>
          <w:color w:val="000000"/>
          <w:sz w:val="23"/>
          <w:szCs w:val="23"/>
        </w:rPr>
        <w:t xml:space="preserve"> </w:t>
      </w:r>
      <w:r>
        <w:rPr>
          <w:rFonts w:ascii="Times New Roman" w:hAnsi="Times New Roman"/>
          <w:color w:val="000000"/>
          <w:sz w:val="23"/>
          <w:szCs w:val="23"/>
        </w:rPr>
        <w:t>PERSONAS MAYORES.</w:t>
      </w:r>
    </w:p>
    <w:p>
      <w:pPr>
        <w:pStyle w:val="Standard"/>
        <w:jc w:val="both"/>
        <w:rPr>
          <w:rFonts w:ascii="Times New Roman" w:hAnsi="Times New Roman"/>
          <w:b/>
          <w:b/>
          <w:bCs/>
          <w:sz w:val="23"/>
          <w:szCs w:val="23"/>
        </w:rPr>
      </w:pPr>
      <w:r>
        <w:rPr>
          <w:rFonts w:ascii="Times New Roman" w:hAnsi="Times New Roman"/>
          <w:b/>
          <w:bCs/>
          <w:sz w:val="23"/>
          <w:szCs w:val="23"/>
        </w:rPr>
      </w:r>
    </w:p>
    <w:p>
      <w:pPr>
        <w:pStyle w:val="Standard"/>
        <w:jc w:val="both"/>
        <w:rPr>
          <w:rFonts w:ascii="Times New Roman" w:hAnsi="Times New Roman"/>
          <w:b/>
          <w:b/>
          <w:bCs/>
          <w:sz w:val="23"/>
          <w:szCs w:val="23"/>
        </w:rPr>
      </w:pPr>
      <w:r>
        <w:rPr>
          <w:rFonts w:ascii="Times New Roman" w:hAnsi="Times New Roman"/>
          <w:b/>
          <w:bCs/>
          <w:color w:val="000000"/>
          <w:sz w:val="23"/>
          <w:szCs w:val="23"/>
        </w:rPr>
        <w:t>Importe Concedido:</w:t>
      </w:r>
      <w:r>
        <w:rPr>
          <w:rFonts w:ascii="Times New Roman" w:hAnsi="Times New Roman"/>
          <w:color w:val="000000"/>
          <w:sz w:val="23"/>
          <w:szCs w:val="23"/>
        </w:rPr>
        <w:t xml:space="preserve"> 16.420,07€</w:t>
      </w:r>
    </w:p>
    <w:p>
      <w:pPr>
        <w:pStyle w:val="Standard"/>
        <w:jc w:val="both"/>
        <w:rPr>
          <w:rFonts w:ascii="Times New Roman" w:hAnsi="Times New Roman"/>
          <w:b/>
          <w:b/>
          <w:bCs/>
          <w:sz w:val="23"/>
          <w:szCs w:val="23"/>
        </w:rPr>
      </w:pPr>
      <w:r>
        <w:rPr>
          <w:rFonts w:ascii="Times New Roman" w:hAnsi="Times New Roman"/>
          <w:b/>
          <w:bCs/>
          <w:color w:val="000000"/>
          <w:sz w:val="23"/>
          <w:szCs w:val="23"/>
        </w:rPr>
        <w:t xml:space="preserve">Estado de ejecución: </w:t>
      </w:r>
      <w:r>
        <w:rPr>
          <w:rFonts w:ascii="Times New Roman" w:hAnsi="Times New Roman"/>
          <w:color w:val="000000"/>
          <w:sz w:val="23"/>
          <w:szCs w:val="23"/>
        </w:rPr>
        <w:t xml:space="preserve"> Proyecto en desarrollo</w:t>
      </w:r>
    </w:p>
    <w:p>
      <w:pPr>
        <w:pStyle w:val="Standard"/>
        <w:jc w:val="both"/>
        <w:rPr>
          <w:rFonts w:ascii="Times New Roman" w:hAnsi="Times New Roman"/>
          <w:b/>
          <w:b/>
          <w:bCs/>
          <w:sz w:val="23"/>
          <w:szCs w:val="23"/>
        </w:rPr>
      </w:pPr>
      <w:r>
        <w:rPr>
          <w:rFonts w:ascii="Times New Roman" w:hAnsi="Times New Roman"/>
          <w:b/>
          <w:bCs/>
          <w:color w:val="000000"/>
          <w:sz w:val="23"/>
          <w:szCs w:val="23"/>
        </w:rPr>
        <w:t>Periodo de ejecución:</w:t>
      </w:r>
      <w:r>
        <w:rPr>
          <w:rFonts w:ascii="Times New Roman" w:hAnsi="Times New Roman"/>
          <w:color w:val="000000"/>
          <w:sz w:val="23"/>
          <w:szCs w:val="23"/>
        </w:rPr>
        <w:t xml:space="preserve"> Hasta el 30 de noviembre 2025.</w:t>
      </w:r>
    </w:p>
    <w:p>
      <w:pPr>
        <w:pStyle w:val="Standard"/>
        <w:jc w:val="both"/>
        <w:rPr>
          <w:rFonts w:ascii="Times New Roman" w:hAnsi="Times New Roman"/>
          <w:b/>
          <w:b/>
          <w:bCs/>
          <w:sz w:val="23"/>
          <w:szCs w:val="23"/>
        </w:rPr>
      </w:pPr>
      <w:r>
        <w:rPr>
          <w:rFonts w:ascii="Times New Roman" w:hAnsi="Times New Roman"/>
          <w:b/>
          <w:bCs/>
          <w:sz w:val="23"/>
          <w:szCs w:val="23"/>
        </w:rPr>
      </w:r>
    </w:p>
    <w:p>
      <w:pPr>
        <w:pStyle w:val="Standard"/>
        <w:jc w:val="both"/>
        <w:rPr>
          <w:sz w:val="26"/>
          <w:szCs w:val="26"/>
        </w:rPr>
      </w:pPr>
      <w:r>
        <w:rPr>
          <w:rFonts w:ascii="Times New Roman" w:hAnsi="Times New Roman"/>
          <w:b/>
          <w:bCs/>
          <w:sz w:val="26"/>
          <w:szCs w:val="26"/>
          <w:lang w:val="en-US"/>
        </w:rPr>
        <w:t>2.-</w:t>
      </w:r>
      <w:r>
        <w:rPr>
          <w:rFonts w:ascii="Times New Roman" w:hAnsi="Times New Roman"/>
          <w:sz w:val="26"/>
          <w:szCs w:val="26"/>
          <w:lang w:val="en-US"/>
        </w:rPr>
        <w:t xml:space="preserve"> </w:t>
      </w:r>
      <w:r>
        <w:rPr>
          <w:rFonts w:ascii="Times New Roman" w:hAnsi="Times New Roman"/>
          <w:b/>
          <w:bCs/>
          <w:sz w:val="26"/>
          <w:szCs w:val="26"/>
          <w:lang w:val="en-US"/>
        </w:rPr>
        <w:t>Localizador C22.I02.P02.S14.S29 Código Provisional C22.I02.P02.S14.PROVISIONAL.S21.</w:t>
      </w:r>
    </w:p>
    <w:p>
      <w:pPr>
        <w:pStyle w:val="Standard"/>
        <w:jc w:val="both"/>
        <w:rPr>
          <w:rFonts w:ascii="Times New Roman" w:hAnsi="Times New Roman"/>
          <w:b/>
          <w:b/>
          <w:bCs/>
          <w:lang w:val="en-US"/>
        </w:rPr>
      </w:pPr>
      <w:r>
        <w:rPr>
          <w:sz w:val="26"/>
          <w:szCs w:val="26"/>
        </w:rPr>
      </w:r>
    </w:p>
    <w:p>
      <w:pPr>
        <w:pStyle w:val="Standard"/>
        <w:jc w:val="both"/>
        <w:rPr>
          <w:sz w:val="26"/>
          <w:szCs w:val="26"/>
        </w:rPr>
      </w:pPr>
      <w:r>
        <w:rPr>
          <w:rFonts w:ascii="Times New Roman" w:hAnsi="Times New Roman"/>
          <w:b/>
          <w:bCs/>
          <w:sz w:val="26"/>
          <w:szCs w:val="26"/>
        </w:rPr>
        <w:t>Denominación: Subproyecto anidado del hito 325 de la Región de Murcia a través del Ayuntamiento de PUERTO LUMBRERAS.</w:t>
      </w:r>
    </w:p>
    <w:p>
      <w:pPr>
        <w:pStyle w:val="Standard"/>
        <w:jc w:val="both"/>
        <w:rPr>
          <w:rFonts w:ascii="Times New Roman" w:hAnsi="Times New Roman"/>
          <w:b/>
          <w:b/>
          <w:bCs/>
          <w:sz w:val="23"/>
          <w:szCs w:val="23"/>
        </w:rPr>
      </w:pPr>
      <w:r>
        <w:rPr/>
      </w:r>
    </w:p>
    <w:p>
      <w:pPr>
        <w:pStyle w:val="Standard"/>
        <w:jc w:val="both"/>
        <w:rPr>
          <w:rFonts w:ascii="Times New Roman" w:hAnsi="Times New Roman"/>
          <w:b/>
          <w:b/>
          <w:bCs/>
          <w:sz w:val="23"/>
          <w:szCs w:val="23"/>
        </w:rPr>
      </w:pPr>
      <w:r>
        <w:rPr>
          <w:rFonts w:ascii="Times New Roman" w:hAnsi="Times New Roman"/>
          <w:b/>
          <w:bCs/>
          <w:sz w:val="23"/>
          <w:szCs w:val="23"/>
        </w:rPr>
        <w:t>Publicación BDNS 633113 Decreto n.º 67/2022, de 2 de junio, por el que se regula la concesión directa de subvenciones a Ayuntamientos y Mancomunidades de Servicios Sociales de la Región de Murcia para el desarrollo de «proyectos innovadores con entidades locales para la atención integral de población vulnerable», en el marco del Plan de Recuperación, Transformación y Resiliencia del mecanismo de recuperación y resiliencia Next Generation EU, en la Comunidad Autónoma de la Región de Murcia.</w:t>
      </w:r>
    </w:p>
    <w:p>
      <w:pPr>
        <w:pStyle w:val="Standard"/>
        <w:jc w:val="both"/>
        <w:rPr>
          <w:rFonts w:ascii="Times New Roman" w:hAnsi="Times New Roman"/>
          <w:b/>
          <w:b/>
          <w:bCs/>
          <w:sz w:val="23"/>
          <w:szCs w:val="23"/>
        </w:rPr>
      </w:pPr>
      <w:r>
        <w:rPr>
          <w:rFonts w:ascii="Times New Roman" w:hAnsi="Times New Roman"/>
          <w:b/>
          <w:bCs/>
          <w:sz w:val="23"/>
          <w:szCs w:val="23"/>
        </w:rPr>
      </w:r>
    </w:p>
    <w:p>
      <w:pPr>
        <w:pStyle w:val="Standard"/>
        <w:jc w:val="both"/>
        <w:rPr>
          <w:rFonts w:ascii="Times New Roman" w:hAnsi="Times New Roman"/>
          <w:b/>
          <w:b/>
          <w:bCs/>
          <w:sz w:val="23"/>
          <w:szCs w:val="23"/>
        </w:rPr>
      </w:pPr>
      <w:r>
        <w:rPr>
          <w:rFonts w:ascii="Times New Roman" w:hAnsi="Times New Roman"/>
          <w:b/>
          <w:bCs/>
          <w:sz w:val="23"/>
          <w:szCs w:val="23"/>
        </w:rPr>
        <w:t>(Convocatoria 2025 BDNS 833852)</w:t>
      </w:r>
    </w:p>
    <w:p>
      <w:pPr>
        <w:pStyle w:val="Standard"/>
        <w:jc w:val="both"/>
        <w:rPr>
          <w:rFonts w:ascii="Times New Roman" w:hAnsi="Times New Roman"/>
          <w:b/>
          <w:b/>
          <w:bCs/>
          <w:sz w:val="23"/>
          <w:szCs w:val="23"/>
        </w:rPr>
      </w:pPr>
      <w:r>
        <w:rPr>
          <w:rFonts w:ascii="Times New Roman" w:hAnsi="Times New Roman"/>
          <w:b/>
          <w:bCs/>
          <w:sz w:val="23"/>
          <w:szCs w:val="23"/>
        </w:rPr>
        <w:t>Decreto n.º 37/2025, de 8 de mayo, por el que se regula la concesión directa de subvenciones a Ayuntamientos y Mancomunidades de Servicios Sociales de la Región de Murcia, para la realización de proyectos piloto de potenciación del trabajo en red entre los Servicios Sociales de Atención Primaria (SSAP) y otros sistemas públicos y de iniciativa social para el apoyo a familias con menores en riesgo de desprotección en el ejercicio 2025, en el marco del Plan de Recuperación, Transformación y Resiliencia del Mecanismo de Recuperación y Resiliencia Next Generation EU.</w:t>
      </w:r>
    </w:p>
    <w:p>
      <w:pPr>
        <w:pStyle w:val="Standard"/>
        <w:jc w:val="both"/>
        <w:rPr>
          <w:rFonts w:ascii="Times New Roman" w:hAnsi="Times New Roman"/>
          <w:sz w:val="23"/>
          <w:szCs w:val="23"/>
        </w:rPr>
      </w:pPr>
      <w:r>
        <w:rPr>
          <w:rFonts w:ascii="Times New Roman" w:hAnsi="Times New Roman"/>
          <w:b/>
          <w:bCs/>
          <w:sz w:val="23"/>
          <w:szCs w:val="23"/>
        </w:rPr>
        <w:t xml:space="preserve">Descripción: </w:t>
      </w:r>
      <w:r>
        <w:rPr>
          <w:rFonts w:ascii="Times New Roman" w:hAnsi="Times New Roman"/>
          <w:sz w:val="23"/>
          <w:szCs w:val="23"/>
        </w:rPr>
        <w:t>"RED INTEGRAL DE APOYO A MENORES EN RIESGO: COORDINACIÓN SOCIOEDUCATIVA Y SANITARIA EN PUERTO LUMBRERAS”</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sz w:val="23"/>
          <w:szCs w:val="23"/>
        </w:rPr>
        <w:t xml:space="preserve">Administración convocante: </w:t>
      </w:r>
    </w:p>
    <w:p>
      <w:pPr>
        <w:pStyle w:val="Standard"/>
        <w:jc w:val="both"/>
        <w:rPr>
          <w:rFonts w:ascii="Times New Roman" w:hAnsi="Times New Roman"/>
          <w:b/>
          <w:b/>
          <w:bCs/>
          <w:sz w:val="23"/>
          <w:szCs w:val="23"/>
        </w:rPr>
      </w:pPr>
      <w:r>
        <w:rPr>
          <w:rFonts w:ascii="Times New Roman" w:hAnsi="Times New Roman"/>
          <w:b/>
          <w:bCs/>
          <w:sz w:val="23"/>
          <w:szCs w:val="23"/>
        </w:rPr>
        <w:t xml:space="preserve">Actuaciones: </w:t>
      </w:r>
      <w:r>
        <w:rPr>
          <w:rFonts w:ascii="Times New Roman" w:hAnsi="Times New Roman"/>
          <w:sz w:val="23"/>
          <w:szCs w:val="23"/>
        </w:rPr>
        <w:t>a) Aumento de jornada Psicóloga</w:t>
      </w:r>
    </w:p>
    <w:p>
      <w:pPr>
        <w:pStyle w:val="Standard"/>
        <w:jc w:val="both"/>
        <w:rPr>
          <w:rFonts w:ascii="Times New Roman" w:hAnsi="Times New Roman"/>
          <w:sz w:val="23"/>
          <w:szCs w:val="23"/>
        </w:rPr>
      </w:pPr>
      <w:r>
        <w:rPr>
          <w:rFonts w:ascii="Times New Roman" w:hAnsi="Times New Roman"/>
          <w:sz w:val="23"/>
          <w:szCs w:val="23"/>
        </w:rPr>
        <w:t xml:space="preserve">                        </w:t>
      </w:r>
      <w:r>
        <w:rPr>
          <w:rFonts w:ascii="Times New Roman" w:hAnsi="Times New Roman"/>
          <w:sz w:val="23"/>
          <w:szCs w:val="23"/>
        </w:rPr>
        <w:t>b) Contratación de Personal formativo experto en Trabajo en Red</w:t>
      </w:r>
    </w:p>
    <w:p>
      <w:pPr>
        <w:pStyle w:val="Standard"/>
        <w:jc w:val="both"/>
        <w:rPr>
          <w:rFonts w:ascii="Times New Roman" w:hAnsi="Times New Roman"/>
          <w:sz w:val="23"/>
          <w:szCs w:val="23"/>
        </w:rPr>
      </w:pPr>
      <w:r>
        <w:rPr>
          <w:rFonts w:ascii="Times New Roman" w:hAnsi="Times New Roman"/>
          <w:sz w:val="23"/>
          <w:szCs w:val="23"/>
        </w:rPr>
        <w:t xml:space="preserve">                        </w:t>
      </w:r>
      <w:r>
        <w:rPr>
          <w:rFonts w:ascii="Times New Roman" w:hAnsi="Times New Roman"/>
          <w:sz w:val="23"/>
          <w:szCs w:val="23"/>
        </w:rPr>
        <w:t>c) Jornadas Regionales de Buenas Prácticas de Trabajo en Red.</w:t>
      </w:r>
    </w:p>
    <w:p>
      <w:pPr>
        <w:pStyle w:val="Standard"/>
        <w:jc w:val="both"/>
        <w:rPr>
          <w:rFonts w:ascii="Times New Roman" w:hAnsi="Times New Roman"/>
          <w:b/>
          <w:b/>
          <w:bCs/>
          <w:sz w:val="23"/>
          <w:szCs w:val="23"/>
        </w:rPr>
      </w:pPr>
      <w:r>
        <w:rPr>
          <w:rFonts w:ascii="Times New Roman" w:hAnsi="Times New Roman"/>
          <w:b/>
          <w:bCs/>
          <w:sz w:val="23"/>
          <w:szCs w:val="23"/>
        </w:rPr>
        <w:t>Importe Concedido:</w:t>
      </w:r>
      <w:r>
        <w:rPr>
          <w:rFonts w:ascii="Times New Roman" w:hAnsi="Times New Roman"/>
          <w:sz w:val="23"/>
          <w:szCs w:val="23"/>
        </w:rPr>
        <w:t xml:space="preserve"> 30.588,00€</w:t>
      </w:r>
    </w:p>
    <w:p>
      <w:pPr>
        <w:pStyle w:val="Standard"/>
        <w:jc w:val="both"/>
        <w:rPr>
          <w:rFonts w:ascii="Times New Roman" w:hAnsi="Times New Roman"/>
          <w:b/>
          <w:b/>
          <w:bCs/>
          <w:sz w:val="23"/>
          <w:szCs w:val="23"/>
        </w:rPr>
      </w:pPr>
      <w:r>
        <w:rPr>
          <w:rFonts w:ascii="Times New Roman" w:hAnsi="Times New Roman"/>
          <w:b/>
          <w:bCs/>
          <w:sz w:val="23"/>
          <w:szCs w:val="23"/>
        </w:rPr>
        <w:t>Estado de ejecución:</w:t>
      </w:r>
      <w:r>
        <w:rPr>
          <w:rFonts w:ascii="Times New Roman" w:hAnsi="Times New Roman"/>
          <w:sz w:val="23"/>
          <w:szCs w:val="23"/>
        </w:rPr>
        <w:t xml:space="preserve"> Proyecto en desarrollo</w:t>
      </w:r>
    </w:p>
    <w:p>
      <w:pPr>
        <w:pStyle w:val="Standard"/>
        <w:jc w:val="both"/>
        <w:rPr>
          <w:rFonts w:ascii="Times New Roman" w:hAnsi="Times New Roman"/>
          <w:b/>
          <w:b/>
          <w:bCs/>
          <w:sz w:val="23"/>
          <w:szCs w:val="23"/>
        </w:rPr>
      </w:pPr>
      <w:r>
        <w:rPr>
          <w:rFonts w:ascii="Times New Roman" w:hAnsi="Times New Roman"/>
          <w:b/>
          <w:bCs/>
          <w:sz w:val="23"/>
          <w:szCs w:val="23"/>
        </w:rPr>
        <w:t>Periodo de ejecución:</w:t>
      </w:r>
      <w:r>
        <w:rPr>
          <w:rFonts w:ascii="Times New Roman" w:hAnsi="Times New Roman"/>
          <w:sz w:val="23"/>
          <w:szCs w:val="23"/>
        </w:rPr>
        <w:t xml:space="preserve"> Hasta el 30 de noviembre 2025</w:t>
      </w:r>
    </w:p>
    <w:p>
      <w:pPr>
        <w:pStyle w:val="Standard"/>
        <w:jc w:val="both"/>
        <w:rPr>
          <w:rFonts w:ascii="Times New Roman" w:hAnsi="Times New Roman"/>
          <w:b/>
          <w:b/>
          <w:bCs/>
          <w:sz w:val="23"/>
          <w:szCs w:val="23"/>
        </w:rPr>
      </w:pPr>
      <w:r>
        <w:rPr>
          <w:rFonts w:ascii="Times New Roman" w:hAnsi="Times New Roman"/>
          <w:b/>
          <w:bCs/>
          <w:sz w:val="23"/>
          <w:szCs w:val="23"/>
        </w:rPr>
      </w:r>
    </w:p>
    <w:p>
      <w:pPr>
        <w:pStyle w:val="Standard"/>
        <w:jc w:val="both"/>
        <w:rPr>
          <w:sz w:val="26"/>
          <w:szCs w:val="26"/>
        </w:rPr>
      </w:pPr>
      <w:r>
        <w:rPr>
          <w:rFonts w:ascii="Times New Roman" w:hAnsi="Times New Roman"/>
          <w:b/>
          <w:bCs/>
          <w:sz w:val="26"/>
          <w:szCs w:val="26"/>
          <w:lang w:val="en-US"/>
        </w:rPr>
        <w:t>3.-</w:t>
      </w:r>
      <w:r>
        <w:rPr>
          <w:rFonts w:ascii="Times New Roman" w:hAnsi="Times New Roman"/>
          <w:sz w:val="26"/>
          <w:szCs w:val="26"/>
          <w:lang w:val="en-US"/>
        </w:rPr>
        <w:t xml:space="preserve"> </w:t>
      </w:r>
      <w:r>
        <w:rPr>
          <w:rFonts w:ascii="Times New Roman" w:hAnsi="Times New Roman"/>
          <w:b/>
          <w:bCs/>
          <w:sz w:val="26"/>
          <w:szCs w:val="26"/>
          <w:lang w:val="en-US"/>
        </w:rPr>
        <w:t>Localizador</w:t>
      </w:r>
      <w:r>
        <w:rPr>
          <w:rFonts w:ascii="Times New Roman" w:hAnsi="Times New Roman"/>
          <w:sz w:val="26"/>
          <w:szCs w:val="26"/>
          <w:lang w:val="en-US"/>
        </w:rPr>
        <w:t xml:space="preserve"> </w:t>
      </w:r>
      <w:r>
        <w:rPr>
          <w:rFonts w:ascii="Times New Roman" w:hAnsi="Times New Roman"/>
          <w:b/>
          <w:bCs/>
          <w:sz w:val="26"/>
          <w:szCs w:val="26"/>
          <w:lang w:val="en-US"/>
        </w:rPr>
        <w:t xml:space="preserve">C19.I01.P04.S13.S09 Código Provisional C19.I01.P04.S13.PROVISIONAL.S11. </w:t>
      </w:r>
    </w:p>
    <w:p>
      <w:pPr>
        <w:pStyle w:val="Standard"/>
        <w:jc w:val="both"/>
        <w:rPr>
          <w:rFonts w:ascii="Times New Roman" w:hAnsi="Times New Roman"/>
          <w:b/>
          <w:b/>
          <w:bCs/>
          <w:lang w:val="en-US"/>
        </w:rPr>
      </w:pPr>
      <w:r>
        <w:rPr>
          <w:sz w:val="26"/>
          <w:szCs w:val="26"/>
        </w:rPr>
      </w:r>
    </w:p>
    <w:p>
      <w:pPr>
        <w:pStyle w:val="Standard"/>
        <w:jc w:val="both"/>
        <w:rPr>
          <w:sz w:val="26"/>
          <w:szCs w:val="26"/>
        </w:rPr>
      </w:pPr>
      <w:r>
        <w:rPr>
          <w:rFonts w:ascii="Times New Roman" w:hAnsi="Times New Roman"/>
          <w:b/>
          <w:bCs/>
          <w:sz w:val="26"/>
          <w:szCs w:val="26"/>
        </w:rPr>
        <w:t>Denominación: Programa CODI CID 288 Región de Murcia, Ayuntamiento de Puerto Lumbreras Publicación BDNS 823471.</w:t>
      </w:r>
    </w:p>
    <w:p>
      <w:pPr>
        <w:pStyle w:val="Standard"/>
        <w:jc w:val="both"/>
        <w:rPr>
          <w:rFonts w:ascii="Times New Roman" w:hAnsi="Times New Roman"/>
          <w:b/>
          <w:b/>
          <w:bCs/>
          <w:sz w:val="23"/>
          <w:szCs w:val="23"/>
        </w:rPr>
      </w:pPr>
      <w:r>
        <w:rPr/>
      </w:r>
    </w:p>
    <w:p>
      <w:pPr>
        <w:pStyle w:val="Standard"/>
        <w:jc w:val="both"/>
        <w:rPr>
          <w:rFonts w:ascii="Times New Roman" w:hAnsi="Times New Roman"/>
          <w:sz w:val="23"/>
          <w:szCs w:val="23"/>
        </w:rPr>
      </w:pPr>
      <w:r>
        <w:rPr>
          <w:rFonts w:ascii="Times New Roman" w:hAnsi="Times New Roman"/>
          <w:b/>
          <w:sz w:val="23"/>
          <w:szCs w:val="23"/>
        </w:rPr>
        <w:t xml:space="preserve">Decreto n.º 17/2025, de 20 de marzo, por el que se establecen las normas especiales reguladoras de la concesión directa de una subvención a los ayuntamientos de la Comunidad Autónoma de la Región de Murcia para la realización de actuaciones educativas para la formación en competencias digitales para niñas, niños y adolescentes en situación de vulnerabilidad, en el marco del programa “Competencias Digitales para la Infancia” (CODI) del Plan de Recuperación, Transformación y Resiliencia (PRTR) – financiado por la Unión Europea – Next Generation EU. Línea de inversión 01 ”Competencias Digitales Transversales” del componente 19 (C19.I01-CID 288) en la Comunidad </w:t>
      </w:r>
      <w:r>
        <w:rPr>
          <w:rFonts w:ascii="Times New Roman" w:hAnsi="Times New Roman"/>
          <w:b/>
          <w:bCs/>
          <w:sz w:val="23"/>
          <w:szCs w:val="23"/>
        </w:rPr>
        <w:t>Autónoma de la Región de Murcia.</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b/>
          <w:bCs/>
          <w:sz w:val="23"/>
          <w:szCs w:val="23"/>
        </w:rPr>
        <w:t>Descripción: La finalidad del programa CODI es proporcionar la formaci</w:t>
      </w:r>
      <w:r>
        <w:rPr>
          <w:rFonts w:ascii="Times New Roman" w:hAnsi="Times New Roman"/>
          <w:sz w:val="23"/>
          <w:szCs w:val="23"/>
        </w:rPr>
        <w:t>ón en competencia digital básica o avanzada, en horario no escolar, al alumnado entre 9 y 17 años en situación de vulnerabilidad socioeducativa, para reducir la brecha digital.</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b/>
          <w:b/>
          <w:bCs/>
          <w:sz w:val="23"/>
          <w:szCs w:val="23"/>
        </w:rPr>
      </w:pPr>
      <w:r>
        <w:rPr>
          <w:rFonts w:ascii="Times New Roman" w:hAnsi="Times New Roman"/>
          <w:b/>
          <w:bCs/>
          <w:sz w:val="23"/>
          <w:szCs w:val="23"/>
        </w:rPr>
        <w:t>Actuaciones:</w:t>
      </w:r>
    </w:p>
    <w:p>
      <w:pPr>
        <w:pStyle w:val="Standard"/>
        <w:jc w:val="both"/>
        <w:rPr>
          <w:rFonts w:ascii="Times New Roman" w:hAnsi="Times New Roman"/>
          <w:sz w:val="23"/>
          <w:szCs w:val="23"/>
        </w:rPr>
      </w:pPr>
      <w:r>
        <w:rPr>
          <w:rFonts w:ascii="Times New Roman" w:hAnsi="Times New Roman"/>
          <w:b/>
          <w:bCs/>
          <w:sz w:val="23"/>
          <w:szCs w:val="23"/>
        </w:rPr>
        <w:t xml:space="preserve">  </w:t>
      </w:r>
      <w:r>
        <w:rPr>
          <w:rFonts w:ascii="Times New Roman" w:hAnsi="Times New Roman"/>
          <w:sz w:val="23"/>
          <w:szCs w:val="23"/>
        </w:rPr>
        <w:t xml:space="preserve">• </w:t>
      </w:r>
      <w:r>
        <w:rPr>
          <w:rFonts w:ascii="Times New Roman" w:hAnsi="Times New Roman"/>
          <w:sz w:val="23"/>
          <w:szCs w:val="23"/>
        </w:rPr>
        <w:t>Línea de formación 1: Curso de formación en competencias digitales básicas adaptadas a niñas y niños en situación de vulnerabilidad con edades comprendidas entre de 9 a 13 años, línea desglosada a su vez en dos líneas:</w:t>
      </w:r>
    </w:p>
    <w:p>
      <w:pPr>
        <w:pStyle w:val="Standard"/>
        <w:jc w:val="both"/>
        <w:rPr>
          <w:rFonts w:ascii="Times New Roman" w:hAnsi="Times New Roman"/>
          <w:sz w:val="23"/>
          <w:szCs w:val="23"/>
        </w:rPr>
      </w:pPr>
      <w:r>
        <w:rPr>
          <w:rFonts w:ascii="Times New Roman" w:hAnsi="Times New Roman"/>
          <w:sz w:val="23"/>
          <w:szCs w:val="23"/>
        </w:rPr>
        <w:t>a. Línea 1.1 de 9 a 11 años.</w:t>
      </w:r>
    </w:p>
    <w:p>
      <w:pPr>
        <w:pStyle w:val="Standard"/>
        <w:jc w:val="both"/>
        <w:rPr>
          <w:rFonts w:ascii="Times New Roman" w:hAnsi="Times New Roman"/>
          <w:sz w:val="23"/>
          <w:szCs w:val="23"/>
        </w:rPr>
      </w:pPr>
      <w:r>
        <w:rPr>
          <w:rFonts w:ascii="Times New Roman" w:hAnsi="Times New Roman"/>
          <w:sz w:val="23"/>
          <w:szCs w:val="23"/>
        </w:rPr>
        <w:t>b. Línea 1.2 de 12 años a 13 años.</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sz w:val="23"/>
          <w:szCs w:val="23"/>
        </w:rPr>
      </w:pPr>
      <w:r>
        <w:rPr>
          <w:rFonts w:ascii="Times New Roman" w:hAnsi="Times New Roman"/>
          <w:sz w:val="23"/>
          <w:szCs w:val="23"/>
        </w:rPr>
        <w:t xml:space="preserve">• </w:t>
      </w:r>
      <w:r>
        <w:rPr>
          <w:rFonts w:ascii="Times New Roman" w:hAnsi="Times New Roman"/>
          <w:sz w:val="23"/>
          <w:szCs w:val="23"/>
        </w:rPr>
        <w:t xml:space="preserve">Línea de formación 2: Curso de formación en competencias digitales avanzadas. Adaptadas a adolescentes de entre 14 y 17 años favoreciendo la </w:t>
      </w:r>
      <w:r>
        <w:rPr>
          <w:rFonts w:ascii="Times New Roman" w:hAnsi="Times New Roman"/>
          <w:b/>
          <w:bCs/>
          <w:sz w:val="23"/>
          <w:szCs w:val="23"/>
        </w:rPr>
        <w:t>capacitación para la empleabilidad, con perspectiva de género.</w:t>
      </w:r>
    </w:p>
    <w:p>
      <w:pPr>
        <w:pStyle w:val="Standard"/>
        <w:jc w:val="both"/>
        <w:rPr>
          <w:rFonts w:ascii="Times New Roman" w:hAnsi="Times New Roman"/>
          <w:sz w:val="23"/>
          <w:szCs w:val="23"/>
        </w:rPr>
      </w:pPr>
      <w:r>
        <w:rPr>
          <w:rFonts w:ascii="Times New Roman" w:hAnsi="Times New Roman"/>
          <w:sz w:val="23"/>
          <w:szCs w:val="23"/>
        </w:rPr>
      </w:r>
    </w:p>
    <w:p>
      <w:pPr>
        <w:pStyle w:val="Standard"/>
        <w:jc w:val="both"/>
        <w:rPr>
          <w:rFonts w:ascii="Times New Roman" w:hAnsi="Times New Roman"/>
          <w:b/>
          <w:b/>
          <w:bCs/>
          <w:sz w:val="23"/>
          <w:szCs w:val="23"/>
        </w:rPr>
      </w:pPr>
      <w:r>
        <w:rPr>
          <w:rFonts w:ascii="Times New Roman" w:hAnsi="Times New Roman"/>
          <w:b/>
          <w:bCs/>
          <w:sz w:val="23"/>
          <w:szCs w:val="23"/>
        </w:rPr>
        <w:t xml:space="preserve">Importe Concedido: </w:t>
      </w:r>
      <w:r>
        <w:rPr>
          <w:rFonts w:ascii="Times New Roman" w:hAnsi="Times New Roman"/>
          <w:sz w:val="23"/>
          <w:szCs w:val="23"/>
        </w:rPr>
        <w:t>29.647,67 €</w:t>
      </w:r>
    </w:p>
    <w:p>
      <w:pPr>
        <w:pStyle w:val="Standard"/>
        <w:jc w:val="both"/>
        <w:rPr>
          <w:rFonts w:ascii="Times New Roman" w:hAnsi="Times New Roman"/>
          <w:b/>
          <w:b/>
          <w:bCs/>
          <w:sz w:val="23"/>
          <w:szCs w:val="23"/>
        </w:rPr>
      </w:pPr>
      <w:r>
        <w:rPr>
          <w:rFonts w:ascii="Times New Roman" w:hAnsi="Times New Roman"/>
          <w:b/>
          <w:bCs/>
          <w:sz w:val="23"/>
          <w:szCs w:val="23"/>
        </w:rPr>
        <w:t xml:space="preserve">Estado de ejecución: </w:t>
      </w:r>
      <w:r>
        <w:rPr>
          <w:rFonts w:ascii="Times New Roman" w:hAnsi="Times New Roman"/>
          <w:sz w:val="23"/>
          <w:szCs w:val="23"/>
        </w:rPr>
        <w:t xml:space="preserve"> Proyecto en desarrollo</w:t>
      </w:r>
    </w:p>
    <w:p>
      <w:pPr>
        <w:pStyle w:val="Standard"/>
        <w:jc w:val="both"/>
        <w:rPr>
          <w:rFonts w:ascii="Times New Roman" w:hAnsi="Times New Roman"/>
          <w:b/>
          <w:b/>
          <w:bCs/>
          <w:sz w:val="23"/>
          <w:szCs w:val="23"/>
        </w:rPr>
      </w:pPr>
      <w:r>
        <w:rPr>
          <w:rFonts w:ascii="Times New Roman" w:hAnsi="Times New Roman"/>
          <w:b/>
          <w:bCs/>
          <w:sz w:val="23"/>
          <w:szCs w:val="23"/>
        </w:rPr>
        <w:t>Periodo de ejecución:</w:t>
      </w:r>
      <w:r>
        <w:rPr>
          <w:rFonts w:ascii="Times New Roman" w:hAnsi="Times New Roman"/>
          <w:sz w:val="23"/>
          <w:szCs w:val="23"/>
        </w:rPr>
        <w:t xml:space="preserve"> Hasta el 31 de diciembre 2025</w:t>
      </w:r>
    </w:p>
    <w:p>
      <w:pPr>
        <w:pStyle w:val="Standard"/>
        <w:jc w:val="both"/>
        <w:rPr>
          <w:rFonts w:ascii="Times New Roman" w:hAnsi="Times New Roman"/>
          <w:b/>
          <w:b/>
          <w:bCs/>
          <w:sz w:val="23"/>
          <w:szCs w:val="23"/>
        </w:rPr>
      </w:pPr>
      <w:r>
        <w:rPr>
          <w:rFonts w:ascii="Times New Roman" w:hAnsi="Times New Roman"/>
          <w:b/>
          <w:bCs/>
          <w:sz w:val="23"/>
          <w:szCs w:val="23"/>
        </w:rPr>
      </w:r>
    </w:p>
    <w:p>
      <w:pPr>
        <w:pStyle w:val="Standard"/>
        <w:jc w:val="both"/>
        <w:rPr>
          <w:rFonts w:ascii="Times New Roman" w:hAnsi="Times New Roman"/>
          <w:b/>
          <w:b/>
          <w:bCs/>
          <w:color w:val="000000"/>
          <w:sz w:val="23"/>
          <w:szCs w:val="23"/>
        </w:rPr>
      </w:pPr>
      <w:r>
        <w:rPr>
          <w:rFonts w:ascii="Times New Roman" w:hAnsi="Times New Roman"/>
          <w:b/>
          <w:bCs/>
          <w:color w:val="000000"/>
          <w:sz w:val="23"/>
          <w:szCs w:val="23"/>
        </w:rPr>
        <w:t>4</w:t>
      </w:r>
      <w:r>
        <w:rPr>
          <w:rFonts w:ascii="Times New Roman" w:hAnsi="Times New Roman"/>
          <w:b/>
          <w:bCs/>
          <w:color w:val="000000"/>
          <w:sz w:val="23"/>
          <w:szCs w:val="23"/>
        </w:rPr>
        <w:t>.-</w:t>
      </w:r>
      <w:r>
        <w:rPr>
          <w:rFonts w:ascii="Times New Roman" w:hAnsi="Times New Roman"/>
          <w:color w:val="000000"/>
          <w:sz w:val="23"/>
          <w:szCs w:val="23"/>
        </w:rPr>
        <w:t xml:space="preserve"> </w:t>
      </w:r>
      <w:r>
        <w:rPr>
          <w:rFonts w:ascii="Times New Roman" w:hAnsi="Times New Roman"/>
          <w:b/>
          <w:bCs/>
          <w:color w:val="000000"/>
          <w:sz w:val="23"/>
          <w:szCs w:val="23"/>
        </w:rPr>
        <w:t>Localizador C24.I02.P04.S18.S44 Código Provisional C24.I02.P04.S18.PROVISIONAL.S34 Denominación Puerto Lumbreras-Subvención Concesión Directa MRR al Ayuntamiento de Puerto Lumbreras para adquisición de fondo bibliográfico en soporte físico para bibliotecas municipales.</w:t>
      </w:r>
    </w:p>
    <w:p>
      <w:pPr>
        <w:pStyle w:val="Standard"/>
        <w:jc w:val="both"/>
        <w:rPr>
          <w:rFonts w:ascii="Times New Roman" w:hAnsi="Times New Roman"/>
          <w:b/>
          <w:b/>
          <w:bCs/>
          <w:color w:val="000000"/>
          <w:sz w:val="23"/>
          <w:szCs w:val="23"/>
        </w:rPr>
      </w:pPr>
      <w:r>
        <w:rPr/>
      </w:r>
    </w:p>
    <w:p>
      <w:pPr>
        <w:pStyle w:val="Standard"/>
        <w:jc w:val="both"/>
        <w:rPr>
          <w:rFonts w:ascii="Times New Roman" w:hAnsi="Times New Roman"/>
          <w:b/>
          <w:b/>
          <w:bCs/>
          <w:color w:val="000000"/>
          <w:sz w:val="23"/>
          <w:szCs w:val="23"/>
        </w:rPr>
      </w:pPr>
      <w:r>
        <w:rPr>
          <w:rFonts w:ascii="Times New Roman" w:hAnsi="Times New Roman"/>
          <w:b/>
          <w:bCs/>
          <w:color w:val="000000"/>
          <w:sz w:val="23"/>
          <w:szCs w:val="23"/>
        </w:rPr>
        <w:t>Publicación BDNS 696866</w:t>
      </w:r>
    </w:p>
    <w:p>
      <w:pPr>
        <w:pStyle w:val="Standard"/>
        <w:jc w:val="both"/>
        <w:rPr>
          <w:rFonts w:ascii="Times New Roman" w:hAnsi="Times New Roman"/>
          <w:color w:val="000000"/>
          <w:sz w:val="23"/>
          <w:szCs w:val="23"/>
        </w:rPr>
      </w:pPr>
      <w:r>
        <w:rPr>
          <w:rFonts w:ascii="Times New Roman" w:hAnsi="Times New Roman"/>
          <w:b/>
          <w:bCs/>
          <w:color w:val="000000"/>
          <w:sz w:val="23"/>
          <w:szCs w:val="23"/>
        </w:rPr>
        <w:t xml:space="preserve">Decreto n.º 144/2023, de 18 de mayo, por el que se regula la concesión directa de subvención a las entidades locales de la Región de Murcia, titulares de bibliotecas públicas, destinadas a la financiación de adquisición de fondos bibliográficos impresos, en el Marco del Plan Nacional de Recuperación, Transformación y Resiliencia- financiado por la Unión Europea - Next Generation EU. (BORM número 117 de 23 de mayo de 2023) </w:t>
      </w:r>
      <w:r>
        <w:rPr>
          <w:rFonts w:ascii="Times New Roman" w:hAnsi="Times New Roman"/>
          <w:b/>
          <w:bCs/>
          <w:i/>
          <w:color w:val="000000"/>
          <w:sz w:val="23"/>
          <w:szCs w:val="23"/>
        </w:rPr>
        <w:t xml:space="preserve">y </w:t>
      </w:r>
      <w:r>
        <w:rPr>
          <w:rFonts w:ascii="Times New Roman" w:hAnsi="Times New Roman"/>
          <w:b/>
          <w:bCs/>
          <w:color w:val="000000"/>
          <w:sz w:val="23"/>
          <w:szCs w:val="23"/>
        </w:rPr>
        <w:t>corrección de error (BORM Número 168 de 22 de julio de 2023)</w:t>
      </w:r>
    </w:p>
    <w:p>
      <w:pPr>
        <w:pStyle w:val="Textbody"/>
        <w:rPr>
          <w:rFonts w:ascii="Times New Roman" w:hAnsi="Times New Roman"/>
          <w:sz w:val="23"/>
          <w:szCs w:val="23"/>
        </w:rPr>
      </w:pPr>
      <w:r>
        <w:rPr/>
      </w:r>
    </w:p>
    <w:p>
      <w:pPr>
        <w:pStyle w:val="Textbody"/>
        <w:rPr>
          <w:rFonts w:ascii="Times New Roman" w:hAnsi="Times New Roman"/>
          <w:sz w:val="23"/>
          <w:szCs w:val="23"/>
        </w:rPr>
      </w:pPr>
      <w:r>
        <w:rPr>
          <w:rFonts w:ascii="Times New Roman" w:hAnsi="Times New Roman"/>
          <w:b/>
          <w:bCs/>
          <w:color w:val="000000"/>
          <w:sz w:val="23"/>
          <w:szCs w:val="23"/>
        </w:rPr>
        <w:t xml:space="preserve">Descripción: </w:t>
      </w:r>
      <w:r>
        <w:rPr>
          <w:rFonts w:ascii="Times New Roman" w:hAnsi="Times New Roman"/>
          <w:color w:val="000000"/>
          <w:sz w:val="23"/>
          <w:szCs w:val="23"/>
        </w:rPr>
        <w:t>Adquisición de fondos bibliográficos impresos</w:t>
      </w:r>
    </w:p>
    <w:p>
      <w:pPr>
        <w:pStyle w:val="Textbody"/>
        <w:rPr>
          <w:rFonts w:ascii="Times New Roman" w:hAnsi="Times New Roman"/>
          <w:sz w:val="23"/>
          <w:szCs w:val="23"/>
        </w:rPr>
      </w:pPr>
      <w:r>
        <w:rPr>
          <w:rFonts w:ascii="Times New Roman" w:hAnsi="Times New Roman"/>
          <w:b/>
          <w:bCs/>
          <w:color w:val="000000"/>
          <w:sz w:val="23"/>
          <w:szCs w:val="23"/>
        </w:rPr>
        <w:t>Importe concedido:</w:t>
      </w:r>
      <w:r>
        <w:rPr>
          <w:rFonts w:ascii="Times New Roman" w:hAnsi="Times New Roman"/>
          <w:color w:val="000000"/>
          <w:sz w:val="23"/>
          <w:szCs w:val="23"/>
        </w:rPr>
        <w:t xml:space="preserve"> 2.227,00 euros.</w:t>
      </w:r>
    </w:p>
    <w:p>
      <w:pPr>
        <w:pStyle w:val="Textbody"/>
        <w:rPr>
          <w:rFonts w:ascii="Times New Roman" w:hAnsi="Times New Roman"/>
          <w:sz w:val="23"/>
          <w:szCs w:val="23"/>
        </w:rPr>
      </w:pPr>
      <w:r>
        <w:rPr>
          <w:rFonts w:ascii="Times New Roman" w:hAnsi="Times New Roman"/>
          <w:b/>
          <w:bCs/>
          <w:color w:val="000000"/>
          <w:sz w:val="23"/>
          <w:szCs w:val="23"/>
        </w:rPr>
        <w:t>Estado de ejecución:</w:t>
      </w:r>
      <w:r>
        <w:rPr>
          <w:rFonts w:ascii="Times New Roman" w:hAnsi="Times New Roman"/>
          <w:color w:val="000000"/>
          <w:sz w:val="23"/>
          <w:szCs w:val="23"/>
        </w:rPr>
        <w:t xml:space="preserve"> Finalizado</w:t>
      </w:r>
    </w:p>
    <w:p>
      <w:pPr>
        <w:pStyle w:val="Textbody"/>
        <w:rPr>
          <w:rFonts w:ascii="Times New Roman" w:hAnsi="Times New Roman"/>
          <w:sz w:val="23"/>
          <w:szCs w:val="23"/>
        </w:rPr>
      </w:pPr>
      <w:r>
        <w:rPr>
          <w:rFonts w:ascii="Times New Roman" w:hAnsi="Times New Roman"/>
          <w:b/>
          <w:bCs/>
          <w:color w:val="000000"/>
          <w:sz w:val="23"/>
          <w:szCs w:val="23"/>
        </w:rPr>
        <w:t>Periodo de ejecución:</w:t>
      </w:r>
      <w:r>
        <w:rPr>
          <w:rFonts w:ascii="Times New Roman" w:hAnsi="Times New Roman"/>
          <w:color w:val="000000"/>
          <w:sz w:val="23"/>
          <w:szCs w:val="23"/>
        </w:rPr>
        <w:t xml:space="preserve"> 30 de noviembre de 2024.</w:t>
      </w:r>
    </w:p>
    <w:p>
      <w:pPr>
        <w:pStyle w:val="Standard"/>
        <w:rPr>
          <w:sz w:val="23"/>
          <w:szCs w:val="23"/>
        </w:rPr>
      </w:pPr>
      <w:r>
        <w:rPr>
          <w:sz w:val="23"/>
          <w:szCs w:val="23"/>
        </w:rPr>
      </w:r>
    </w:p>
    <w:p>
      <w:pPr>
        <w:pStyle w:val="Standard"/>
        <w:rPr>
          <w:sz w:val="26"/>
          <w:szCs w:val="26"/>
        </w:rPr>
      </w:pPr>
      <w:r>
        <w:rPr>
          <w:b/>
          <w:bCs/>
          <w:sz w:val="26"/>
          <w:szCs w:val="26"/>
        </w:rPr>
        <w:t>5</w:t>
      </w:r>
      <w:r>
        <w:rPr>
          <w:b/>
          <w:bCs/>
          <w:sz w:val="26"/>
          <w:szCs w:val="26"/>
        </w:rPr>
        <w:t>.-</w:t>
      </w:r>
      <w:r>
        <w:rPr>
          <w:rFonts w:cs="Times New Roman"/>
          <w:b/>
          <w:bCs/>
          <w:sz w:val="26"/>
          <w:szCs w:val="26"/>
        </w:rPr>
        <w:t xml:space="preserve"> Localizador C21.I01.P01.S06.S26 Código Provisional C21.I01.P01.S06.PROVISIONAL.S16 Denominación PUERTO LUMBRERAS -REHABILITACIÓN/AMPLIACIÓN AULAS DE INFANTIL 0 - 3 AÑOS-EMEI "JUAN LÓPEZ".</w:t>
      </w:r>
    </w:p>
    <w:p>
      <w:pPr>
        <w:pStyle w:val="Standard"/>
        <w:rPr>
          <w:rFonts w:cs="Times New Roman"/>
          <w:b/>
          <w:b/>
          <w:bCs/>
          <w:sz w:val="23"/>
          <w:szCs w:val="23"/>
        </w:rPr>
      </w:pPr>
      <w:r>
        <w:rPr/>
      </w:r>
    </w:p>
    <w:p>
      <w:pPr>
        <w:pStyle w:val="Standard"/>
        <w:rPr>
          <w:rFonts w:cs="Times New Roman"/>
          <w:b/>
          <w:b/>
          <w:bCs/>
          <w:sz w:val="23"/>
          <w:szCs w:val="23"/>
        </w:rPr>
      </w:pPr>
      <w:r>
        <w:rPr>
          <w:rFonts w:cs="Times New Roman"/>
          <w:b/>
          <w:bCs/>
          <w:sz w:val="23"/>
          <w:szCs w:val="23"/>
        </w:rPr>
        <w:t>Publicación BDNS 688407</w:t>
      </w:r>
    </w:p>
    <w:p>
      <w:pPr>
        <w:pStyle w:val="Standard"/>
        <w:jc w:val="both"/>
        <w:rPr>
          <w:rFonts w:cs="Times New Roman"/>
          <w:b/>
          <w:b/>
          <w:bCs/>
          <w:sz w:val="23"/>
          <w:szCs w:val="23"/>
        </w:rPr>
      </w:pPr>
      <w:r>
        <w:rPr>
          <w:rFonts w:cs="Times New Roman"/>
          <w:b/>
          <w:bCs/>
          <w:sz w:val="23"/>
          <w:szCs w:val="23"/>
        </w:rPr>
        <w:t>Decreto n.º 110/2023, de 5 de abril, por el que se establecen las normas especiales reguladoras de la concesión directa de subvenciones a Ayuntamientos para la rehabilitación y ampliación de escuelas de educación infantil y de centros de atención a la infancia para su autorización como escuela municipal de educación infantil en el marco del programa de impulso de escolarización en el primer ciclo de educación infantil con nuevas plazas de titularidad pública, prioritariamente para niños y niñas de 1 y 2 años, con cargo al Plan de Recuperación, Transformación y Resiliencia financiado por la Unión Europea, Next Generation EU.</w:t>
      </w:r>
    </w:p>
    <w:p>
      <w:pPr>
        <w:pStyle w:val="Standard"/>
        <w:jc w:val="both"/>
        <w:rPr>
          <w:rFonts w:cs="Times New Roman"/>
          <w:b/>
          <w:b/>
          <w:bCs/>
          <w:sz w:val="23"/>
          <w:szCs w:val="23"/>
        </w:rPr>
      </w:pPr>
      <w:r>
        <w:rPr>
          <w:rFonts w:cs="Times New Roman"/>
          <w:b/>
          <w:bCs/>
          <w:sz w:val="23"/>
          <w:szCs w:val="23"/>
        </w:rPr>
      </w:r>
    </w:p>
    <w:p>
      <w:pPr>
        <w:pStyle w:val="Standard"/>
        <w:jc w:val="both"/>
        <w:rPr>
          <w:sz w:val="23"/>
          <w:szCs w:val="23"/>
        </w:rPr>
      </w:pPr>
      <w:r>
        <w:rPr>
          <w:rFonts w:cs="Times New Roman"/>
          <w:b/>
          <w:bCs/>
          <w:sz w:val="23"/>
          <w:szCs w:val="23"/>
        </w:rPr>
        <w:t>Subvención para la rehabilitación y ampliación de escuelas de educación infantil y de centros de atención a la infancia para su autorización como escuela municipal de educación infantil en el marco del programa de impulso de escolarización en el primer ciclo de educación infantil con nuevas plazas de titularidad pública, prioritariamente para niños y niñas de 1 y 2 años”. Proyecto: Rehabilitación CAI “Juan López.</w:t>
      </w:r>
    </w:p>
    <w:p>
      <w:pPr>
        <w:pStyle w:val="Standard"/>
        <w:jc w:val="both"/>
        <w:rPr>
          <w:rFonts w:cs="Times New Roman"/>
          <w:b/>
          <w:b/>
          <w:bCs/>
          <w:sz w:val="23"/>
          <w:szCs w:val="23"/>
        </w:rPr>
      </w:pPr>
      <w:r>
        <w:rPr>
          <w:rFonts w:cs="Times New Roman"/>
          <w:b/>
          <w:bCs/>
          <w:sz w:val="23"/>
          <w:szCs w:val="23"/>
        </w:rPr>
      </w:r>
    </w:p>
    <w:p>
      <w:pPr>
        <w:pStyle w:val="Textbody"/>
        <w:jc w:val="both"/>
        <w:rPr>
          <w:rFonts w:ascii="Times New Roman" w:hAnsi="Times New Roman"/>
          <w:sz w:val="23"/>
          <w:szCs w:val="23"/>
        </w:rPr>
      </w:pPr>
      <w:r>
        <w:rPr>
          <w:rFonts w:ascii="Times New Roman" w:hAnsi="Times New Roman"/>
          <w:b/>
          <w:bCs/>
          <w:color w:val="000000"/>
          <w:sz w:val="23"/>
          <w:szCs w:val="23"/>
        </w:rPr>
        <w:t xml:space="preserve">Descripción: </w:t>
      </w:r>
      <w:r>
        <w:rPr>
          <w:rFonts w:ascii="Times New Roman" w:hAnsi="Times New Roman"/>
          <w:color w:val="000000"/>
          <w:sz w:val="23"/>
          <w:szCs w:val="23"/>
        </w:rPr>
        <w:t>Obras de rehabilitación en CAI “Juan López”.</w:t>
      </w:r>
    </w:p>
    <w:p>
      <w:pPr>
        <w:pStyle w:val="Textbody"/>
        <w:jc w:val="both"/>
        <w:rPr>
          <w:rFonts w:ascii="Times New Roman" w:hAnsi="Times New Roman"/>
          <w:sz w:val="23"/>
          <w:szCs w:val="23"/>
        </w:rPr>
      </w:pPr>
      <w:r>
        <w:rPr>
          <w:rFonts w:ascii="Times New Roman" w:hAnsi="Times New Roman"/>
          <w:b/>
          <w:bCs/>
          <w:color w:val="000000"/>
          <w:sz w:val="23"/>
          <w:szCs w:val="23"/>
        </w:rPr>
        <w:t>Importe concedido:</w:t>
      </w:r>
      <w:r>
        <w:rPr>
          <w:rFonts w:ascii="Times New Roman" w:hAnsi="Times New Roman"/>
          <w:color w:val="000000"/>
          <w:sz w:val="23"/>
          <w:szCs w:val="23"/>
        </w:rPr>
        <w:t xml:space="preserve"> 102.240 €.</w:t>
      </w:r>
    </w:p>
    <w:p>
      <w:pPr>
        <w:pStyle w:val="Textbody"/>
        <w:jc w:val="both"/>
        <w:rPr>
          <w:rFonts w:ascii="Times New Roman" w:hAnsi="Times New Roman"/>
          <w:sz w:val="23"/>
          <w:szCs w:val="23"/>
        </w:rPr>
      </w:pPr>
      <w:r>
        <w:rPr>
          <w:rFonts w:ascii="Times New Roman" w:hAnsi="Times New Roman"/>
          <w:b/>
          <w:bCs/>
          <w:color w:val="000000"/>
          <w:sz w:val="23"/>
          <w:szCs w:val="23"/>
        </w:rPr>
        <w:t xml:space="preserve">Estado de ejecución: </w:t>
      </w:r>
      <w:r>
        <w:rPr>
          <w:rFonts w:ascii="Times New Roman" w:hAnsi="Times New Roman"/>
          <w:color w:val="000000"/>
          <w:sz w:val="23"/>
          <w:szCs w:val="23"/>
        </w:rPr>
        <w:t>Finalizado</w:t>
      </w:r>
    </w:p>
    <w:p>
      <w:pPr>
        <w:pStyle w:val="Textbody"/>
        <w:jc w:val="both"/>
        <w:rPr>
          <w:rFonts w:ascii="Times New Roman" w:hAnsi="Times New Roman"/>
          <w:color w:val="000000"/>
          <w:sz w:val="23"/>
          <w:szCs w:val="23"/>
        </w:rPr>
      </w:pPr>
      <w:r>
        <w:rPr>
          <w:rFonts w:ascii="Times New Roman" w:hAnsi="Times New Roman"/>
          <w:b/>
          <w:bCs/>
          <w:color w:val="000000"/>
          <w:sz w:val="23"/>
          <w:szCs w:val="23"/>
        </w:rPr>
        <w:t>Periodo de ejecución:</w:t>
      </w:r>
      <w:r>
        <w:rPr>
          <w:rFonts w:ascii="Times New Roman" w:hAnsi="Times New Roman"/>
          <w:color w:val="000000"/>
          <w:sz w:val="23"/>
          <w:szCs w:val="23"/>
        </w:rPr>
        <w:t xml:space="preserve"> 30.06.2025.</w:t>
      </w:r>
    </w:p>
    <w:p>
      <w:pPr>
        <w:pStyle w:val="Textbody"/>
        <w:jc w:val="both"/>
        <w:rPr>
          <w:rFonts w:ascii="Times New Roman" w:hAnsi="Times New Roman"/>
          <w:b/>
          <w:b/>
          <w:bCs/>
          <w:color w:val="000000"/>
          <w:sz w:val="23"/>
          <w:szCs w:val="23"/>
        </w:rPr>
      </w:pPr>
      <w:r>
        <w:rPr>
          <w:rFonts w:ascii="Times New Roman" w:hAnsi="Times New Roman"/>
          <w:b/>
          <w:bCs/>
          <w:color w:val="000000"/>
          <w:sz w:val="23"/>
          <w:szCs w:val="23"/>
        </w:rPr>
        <w:t>Actuación:</w:t>
      </w:r>
    </w:p>
    <w:p>
      <w:pPr>
        <w:pStyle w:val="Textbody"/>
        <w:jc w:val="both"/>
        <w:rPr>
          <w:rFonts w:ascii="Times New Roman" w:hAnsi="Times New Roman"/>
          <w:color w:val="000000"/>
          <w:sz w:val="23"/>
          <w:szCs w:val="23"/>
        </w:rPr>
      </w:pPr>
      <w:r>
        <w:rPr>
          <w:rFonts w:ascii="Times New Roman" w:hAnsi="Times New Roman"/>
          <w:color w:val="000000"/>
          <w:sz w:val="23"/>
          <w:szCs w:val="23"/>
        </w:rPr>
        <w:t>Contrato de obras de rehabilitación y reforma de la salubridad y la accesibilidad del Centro de Atención Infantil Juan López de Puerto Lumbreras, en el marco del Plan de Recuperación, Transformación y Resiliencia financiado por la UE Next Generation, por procedimiento abierto simplificado.</w:t>
      </w:r>
    </w:p>
    <w:p>
      <w:pPr>
        <w:pStyle w:val="Standard"/>
        <w:jc w:val="both"/>
        <w:rPr>
          <w:sz w:val="23"/>
          <w:szCs w:val="23"/>
        </w:rPr>
      </w:pPr>
      <w:r>
        <w:rPr>
          <w:sz w:val="23"/>
          <w:szCs w:val="23"/>
        </w:rPr>
      </w:r>
    </w:p>
    <w:p>
      <w:pPr>
        <w:pStyle w:val="Standard"/>
        <w:jc w:val="both"/>
        <w:rPr>
          <w:sz w:val="26"/>
          <w:szCs w:val="26"/>
        </w:rPr>
      </w:pPr>
      <w:r>
        <w:rPr>
          <w:rFonts w:cs="Times New Roman"/>
          <w:b/>
          <w:bCs/>
          <w:sz w:val="26"/>
          <w:szCs w:val="26"/>
          <w:lang w:eastAsia="es-ES"/>
        </w:rPr>
        <w:t>6</w:t>
      </w:r>
      <w:r>
        <w:rPr>
          <w:rFonts w:cs="Times New Roman"/>
          <w:b/>
          <w:bCs/>
          <w:sz w:val="26"/>
          <w:szCs w:val="26"/>
          <w:lang w:eastAsia="es-ES"/>
        </w:rPr>
        <w:t>.- Localizador C12.I03.P01.S14.S58 Código Provisional C12.I03.P01.S14.PROVISIONAL.S24 Denominación PUERTO LUMBRERAS-Plan de apoyo a la implementación de la normativa de residuos. Región de Murcia.</w:t>
      </w:r>
    </w:p>
    <w:p>
      <w:pPr>
        <w:pStyle w:val="Standard"/>
        <w:jc w:val="both"/>
        <w:rPr>
          <w:rFonts w:cs="Times New Roman"/>
          <w:b/>
          <w:b/>
          <w:bCs/>
          <w:sz w:val="23"/>
          <w:szCs w:val="23"/>
          <w:lang w:eastAsia="es-ES"/>
        </w:rPr>
      </w:pPr>
      <w:r>
        <w:rPr/>
      </w:r>
    </w:p>
    <w:p>
      <w:pPr>
        <w:pStyle w:val="Standard"/>
        <w:jc w:val="both"/>
        <w:rPr>
          <w:rFonts w:cs="Times New Roman"/>
          <w:b/>
          <w:b/>
          <w:bCs/>
          <w:sz w:val="23"/>
          <w:szCs w:val="23"/>
          <w:lang w:eastAsia="es-ES"/>
        </w:rPr>
      </w:pPr>
      <w:r>
        <w:rPr>
          <w:rFonts w:cs="Times New Roman"/>
          <w:b/>
          <w:bCs/>
          <w:sz w:val="23"/>
          <w:szCs w:val="23"/>
          <w:lang w:eastAsia="es-ES"/>
        </w:rPr>
        <w:t xml:space="preserve">Publicación BDNS 626256 </w:t>
      </w:r>
    </w:p>
    <w:p>
      <w:pPr>
        <w:pStyle w:val="Standard"/>
        <w:jc w:val="both"/>
        <w:rPr>
          <w:rFonts w:cs="Times New Roman"/>
          <w:b/>
          <w:b/>
          <w:bCs/>
          <w:sz w:val="23"/>
          <w:szCs w:val="23"/>
          <w:lang w:eastAsia="es-ES"/>
        </w:rPr>
      </w:pPr>
      <w:r>
        <w:rPr>
          <w:rFonts w:cs="Times New Roman"/>
          <w:b/>
          <w:bCs/>
          <w:sz w:val="23"/>
          <w:szCs w:val="23"/>
          <w:lang w:eastAsia="es-ES"/>
        </w:rPr>
        <w:t>Orden de 11 de mayo de 2022 de la Consejería de Agua, Agricultura, Ganadería, Pesca y Medio Ambiente, por la que se aprueba la convocatoria correspondiente a la concesión de subvenciones en régimen de concurrencia competitiva a las entidades locales y consorcios de éstas destinadas a la ejecución de proyectos de implantación o mejora de los sistemas de recogida separada de biorresiduos, residuos textiles y aceite de cocina usado en la Región de Murcia, dentro del Plan de Apoyo a la Implementación de la Normativa de Residuos del Plan de Recuperación, Transformación y Resiliencia (PRTR)-financiado por la Unión Europea-Next Generation EU, en el ámbito territorial de la Región de Murcia.</w:t>
      </w:r>
    </w:p>
    <w:p>
      <w:pPr>
        <w:pStyle w:val="Standard"/>
        <w:jc w:val="both"/>
        <w:rPr>
          <w:rFonts w:cs="Times New Roman"/>
          <w:b/>
          <w:b/>
          <w:bCs/>
          <w:sz w:val="23"/>
          <w:szCs w:val="23"/>
          <w:lang w:eastAsia="es-ES"/>
        </w:rPr>
      </w:pPr>
      <w:r>
        <w:rPr>
          <w:rFonts w:cs="Times New Roman"/>
          <w:b/>
          <w:bCs/>
          <w:sz w:val="23"/>
          <w:szCs w:val="23"/>
          <w:lang w:eastAsia="es-ES"/>
        </w:rPr>
      </w:r>
    </w:p>
    <w:p>
      <w:pPr>
        <w:pStyle w:val="Standard"/>
        <w:jc w:val="both"/>
        <w:rPr>
          <w:sz w:val="23"/>
          <w:szCs w:val="23"/>
        </w:rPr>
      </w:pPr>
      <w:r>
        <w:rPr>
          <w:rFonts w:cs="Times New Roman"/>
          <w:b/>
          <w:bCs/>
          <w:sz w:val="23"/>
          <w:szCs w:val="23"/>
          <w:lang w:eastAsia="es-ES"/>
        </w:rPr>
        <w:t>Subvención para el “Proyecto de Implantación, ampliación y mejora de la recogida separada de biorresiduos destinados a instalaciones específicas de tratamiento biológico (compostaje, digestión anaerobia o ambas, línea A”.</w:t>
      </w:r>
    </w:p>
    <w:p>
      <w:pPr>
        <w:pStyle w:val="Standard"/>
        <w:jc w:val="both"/>
        <w:rPr>
          <w:rFonts w:cs="Times New Roman"/>
          <w:b/>
          <w:b/>
          <w:bCs/>
          <w:sz w:val="23"/>
          <w:szCs w:val="23"/>
          <w:lang w:eastAsia="es-ES"/>
        </w:rPr>
      </w:pPr>
      <w:r>
        <w:rPr>
          <w:rFonts w:cs="Times New Roman"/>
          <w:b/>
          <w:bCs/>
          <w:sz w:val="23"/>
          <w:szCs w:val="23"/>
          <w:lang w:eastAsia="es-ES"/>
        </w:rPr>
      </w:r>
    </w:p>
    <w:p>
      <w:pPr>
        <w:pStyle w:val="Textbody"/>
        <w:jc w:val="both"/>
        <w:rPr>
          <w:rFonts w:ascii="Times New Roman" w:hAnsi="Times New Roman"/>
          <w:sz w:val="23"/>
          <w:szCs w:val="23"/>
        </w:rPr>
      </w:pPr>
      <w:r>
        <w:rPr>
          <w:rFonts w:ascii="Times New Roman" w:hAnsi="Times New Roman"/>
          <w:b/>
          <w:bCs/>
          <w:color w:val="000000"/>
          <w:sz w:val="23"/>
          <w:szCs w:val="23"/>
        </w:rPr>
        <w:t xml:space="preserve">Descripción: </w:t>
      </w:r>
      <w:r>
        <w:rPr>
          <w:rFonts w:ascii="Times New Roman" w:hAnsi="Times New Roman"/>
          <w:color w:val="000000"/>
          <w:sz w:val="23"/>
          <w:szCs w:val="23"/>
        </w:rPr>
        <w:t>Implantación de recogida separada de biorresiduos.</w:t>
      </w:r>
    </w:p>
    <w:p>
      <w:pPr>
        <w:pStyle w:val="Textbody"/>
        <w:jc w:val="both"/>
        <w:rPr>
          <w:rFonts w:ascii="Times New Roman" w:hAnsi="Times New Roman"/>
          <w:sz w:val="23"/>
          <w:szCs w:val="23"/>
        </w:rPr>
      </w:pPr>
      <w:r>
        <w:rPr>
          <w:rFonts w:ascii="Times New Roman" w:hAnsi="Times New Roman"/>
          <w:b/>
          <w:bCs/>
          <w:color w:val="000000"/>
          <w:sz w:val="23"/>
          <w:szCs w:val="23"/>
        </w:rPr>
        <w:t>Importe concedido:</w:t>
      </w:r>
      <w:r>
        <w:rPr>
          <w:rFonts w:ascii="Times New Roman" w:hAnsi="Times New Roman"/>
          <w:color w:val="000000"/>
          <w:sz w:val="23"/>
          <w:szCs w:val="23"/>
        </w:rPr>
        <w:t xml:space="preserve"> 118.913,48€.</w:t>
      </w:r>
    </w:p>
    <w:p>
      <w:pPr>
        <w:pStyle w:val="Textbody"/>
        <w:jc w:val="both"/>
        <w:rPr>
          <w:rFonts w:ascii="Times New Roman" w:hAnsi="Times New Roman"/>
          <w:sz w:val="23"/>
          <w:szCs w:val="23"/>
        </w:rPr>
      </w:pPr>
      <w:r>
        <w:rPr>
          <w:rFonts w:ascii="Times New Roman" w:hAnsi="Times New Roman"/>
          <w:b/>
          <w:bCs/>
          <w:color w:val="000000"/>
          <w:sz w:val="23"/>
          <w:szCs w:val="23"/>
        </w:rPr>
        <w:t xml:space="preserve">Estado de ejecución: </w:t>
      </w:r>
      <w:r>
        <w:rPr>
          <w:rFonts w:ascii="Times New Roman" w:hAnsi="Times New Roman"/>
          <w:color w:val="000000"/>
          <w:sz w:val="23"/>
          <w:szCs w:val="23"/>
        </w:rPr>
        <w:t>Finalizado</w:t>
      </w:r>
    </w:p>
    <w:p>
      <w:pPr>
        <w:pStyle w:val="Textbody"/>
        <w:jc w:val="both"/>
        <w:rPr>
          <w:rFonts w:ascii="Times New Roman" w:hAnsi="Times New Roman"/>
          <w:color w:val="000000"/>
          <w:sz w:val="23"/>
          <w:szCs w:val="23"/>
        </w:rPr>
      </w:pPr>
      <w:r>
        <w:rPr>
          <w:rFonts w:ascii="Times New Roman" w:hAnsi="Times New Roman"/>
          <w:b/>
          <w:color w:val="000000"/>
          <w:sz w:val="23"/>
          <w:szCs w:val="23"/>
        </w:rPr>
        <w:t>Periodo de ejecución:</w:t>
      </w:r>
      <w:r>
        <w:rPr>
          <w:rFonts w:ascii="Times New Roman" w:hAnsi="Times New Roman"/>
          <w:color w:val="000000"/>
          <w:sz w:val="23"/>
          <w:szCs w:val="23"/>
        </w:rPr>
        <w:t xml:space="preserve"> 15.10.2025.</w:t>
      </w:r>
    </w:p>
    <w:p>
      <w:pPr>
        <w:pStyle w:val="Standard"/>
        <w:jc w:val="both"/>
        <w:rPr>
          <w:rFonts w:ascii="Times New Roman" w:hAnsi="Times New Roman"/>
          <w:b/>
          <w:b/>
          <w:bCs/>
          <w:sz w:val="23"/>
          <w:szCs w:val="23"/>
        </w:rPr>
      </w:pPr>
      <w:r>
        <w:rPr>
          <w:rFonts w:ascii="Times New Roman" w:hAnsi="Times New Roman"/>
          <w:b/>
          <w:bCs/>
          <w:sz w:val="23"/>
          <w:szCs w:val="23"/>
          <w:u w:val="single"/>
        </w:rPr>
        <w:t>INCLUÍDA en la anterior</w:t>
      </w:r>
      <w:r>
        <w:rPr>
          <w:rFonts w:ascii="Times New Roman" w:hAnsi="Times New Roman"/>
          <w:b/>
          <w:bCs/>
          <w:sz w:val="23"/>
          <w:szCs w:val="23"/>
        </w:rPr>
        <w:t>:</w:t>
      </w:r>
      <w:r>
        <w:rPr>
          <w:rFonts w:ascii="Times New Roman" w:hAnsi="Times New Roman"/>
          <w:sz w:val="23"/>
          <w:szCs w:val="23"/>
        </w:rPr>
        <w:t xml:space="preserve"> </w:t>
      </w:r>
      <w:r>
        <w:rPr>
          <w:rFonts w:ascii="Times New Roman" w:hAnsi="Times New Roman"/>
          <w:b/>
          <w:bCs/>
          <w:sz w:val="23"/>
          <w:szCs w:val="23"/>
          <w:u w:val="single"/>
        </w:rPr>
        <w:t>Publicación BDNS 878265</w:t>
      </w:r>
      <w:r>
        <w:rPr>
          <w:rFonts w:ascii="Times New Roman" w:hAnsi="Times New Roman"/>
          <w:sz w:val="23"/>
          <w:szCs w:val="23"/>
        </w:rPr>
        <w:t xml:space="preserve"> </w:t>
      </w:r>
      <w:r>
        <w:rPr>
          <w:rFonts w:ascii="Times New Roman" w:hAnsi="Times New Roman"/>
          <w:b/>
          <w:bCs/>
          <w:sz w:val="23"/>
          <w:szCs w:val="23"/>
        </w:rPr>
        <w:t xml:space="preserve">Decreto n.º 296/2025, de 23 de diciembre, por el que se establecen las normas especiales reguladoras de la concesión directa de subvenciones a favor de los Ayuntamientos de Abanilla, Abarán, Águilas, Albudeite, Alcantarilla, Aledo, Alhama de Murcia, Archena, Beniel, Blanca, Calasparra, Caravaca de la Cruz, Cehegín, Ceutí, Cieza, Fuente Álamo, La Unión, Las Torres de Cotillas, Lorquí, Los Alcázares, Mazarrón, Molina de Segura, Moratalla, Mula, Puerto Lumbreras, San Javier, San Pedro del Pinatar, Totana y Villanueva del Río Segura para </w:t>
      </w:r>
      <w:bookmarkStart w:id="2" w:name="_Hlk220316133"/>
      <w:r>
        <w:rPr>
          <w:rFonts w:ascii="Times New Roman" w:hAnsi="Times New Roman"/>
          <w:b/>
          <w:bCs/>
          <w:sz w:val="23"/>
          <w:szCs w:val="23"/>
        </w:rPr>
        <w:t>la ejecución de proyectos de implantación o mejora de los sistemas de recogida separada de biorresiduos destinados a instalaciones específicas de tratamiento biológico, residuos textiles y aceite de cocina usado en la Región de Murcia, así como para la ejecución de proyectos de construcción y mejora de instalaciones para puntos limpios (ECOPARQUES) y puntos limpios móviles dentro del Plan de Apoyo a la Implementación de la Normativa de Residuos, en el marco del Plan de Recuperación, Transformación y Resiliencia (PRTR) - Financiado por la Unión Europea-Next Generation EU.</w:t>
      </w:r>
      <w:bookmarkEnd w:id="2"/>
    </w:p>
    <w:p>
      <w:pPr>
        <w:pStyle w:val="Standard"/>
        <w:rPr>
          <w:rFonts w:cs="Times New Roman"/>
          <w:b/>
          <w:b/>
          <w:bCs/>
          <w:sz w:val="23"/>
          <w:szCs w:val="23"/>
          <w:lang w:eastAsia="es-ES"/>
        </w:rPr>
      </w:pPr>
      <w:r>
        <w:rPr>
          <w:rFonts w:cs="Times New Roman"/>
          <w:b/>
          <w:bCs/>
          <w:sz w:val="23"/>
          <w:szCs w:val="23"/>
          <w:lang w:eastAsia="es-ES"/>
        </w:rPr>
      </w:r>
    </w:p>
    <w:p>
      <w:pPr>
        <w:pStyle w:val="Normal"/>
        <w:jc w:val="both"/>
        <w:rPr>
          <w:rFonts w:ascii="Times New Roman" w:hAnsi="Times New Roman"/>
          <w:b/>
          <w:b/>
          <w:bCs/>
          <w:sz w:val="23"/>
          <w:szCs w:val="23"/>
        </w:rPr>
      </w:pPr>
      <w:r>
        <w:rPr>
          <w:rFonts w:cs="Times New Roman"/>
          <w:b/>
          <w:bCs/>
          <w:sz w:val="23"/>
          <w:szCs w:val="23"/>
          <w:lang w:eastAsia="es-ES"/>
        </w:rPr>
        <w:t xml:space="preserve">Subvención para </w:t>
      </w:r>
      <w:r>
        <w:rPr>
          <w:rFonts w:ascii="Times New Roman" w:hAnsi="Times New Roman"/>
          <w:b/>
          <w:bCs/>
          <w:sz w:val="23"/>
          <w:szCs w:val="23"/>
        </w:rPr>
        <w:t>la ejecución de proyectos de implantación o mejora de los sistemas de recogida separada de biorresiduos destinados a instalaciones específicas de tratamiento biológico, residuos textiles y aceite de cocina usado en la Región de Murcia, así como para la ejecución de proyectos de construcción y mejora de instalaciones para puntos limpios (ECOPARQUES) y puntos limpios móviles dentro del Plan de Apoyo a la Implementación de la Normativa de Residuos, en el marco del Plan de Recuperación, Transformación y Resiliencia (PRTR) - Financiado por la Unión Europea-Next Generation EU.</w:t>
      </w:r>
    </w:p>
    <w:p>
      <w:pPr>
        <w:pStyle w:val="Normal"/>
        <w:jc w:val="both"/>
        <w:rPr>
          <w:rFonts w:cs="Times New Roman"/>
          <w:b/>
          <w:b/>
          <w:bCs/>
          <w:sz w:val="23"/>
          <w:szCs w:val="23"/>
          <w:lang w:eastAsia="es-ES"/>
        </w:rPr>
      </w:pPr>
      <w:r>
        <w:rPr>
          <w:rFonts w:cs="Times New Roman"/>
          <w:b/>
          <w:bCs/>
          <w:sz w:val="23"/>
          <w:szCs w:val="23"/>
          <w:lang w:eastAsia="es-ES"/>
        </w:rPr>
      </w:r>
    </w:p>
    <w:p>
      <w:pPr>
        <w:pStyle w:val="Normal"/>
        <w:jc w:val="both"/>
        <w:rPr>
          <w:bCs/>
          <w:sz w:val="23"/>
          <w:szCs w:val="23"/>
        </w:rPr>
      </w:pPr>
      <w:r>
        <w:rPr>
          <w:rFonts w:cs="Times New Roman"/>
          <w:b/>
          <w:bCs/>
          <w:sz w:val="23"/>
          <w:szCs w:val="23"/>
          <w:lang w:eastAsia="es-ES"/>
        </w:rPr>
        <w:t>Administración convocante</w:t>
      </w:r>
      <w:r>
        <w:rPr>
          <w:rFonts w:ascii="Times New Roman" w:hAnsi="Times New Roman"/>
          <w:b/>
          <w:sz w:val="23"/>
          <w:szCs w:val="23"/>
        </w:rPr>
        <w:t xml:space="preserve">: </w:t>
      </w:r>
      <w:r>
        <w:rPr>
          <w:rFonts w:ascii="Times New Roman" w:hAnsi="Times New Roman"/>
          <w:bCs/>
          <w:sz w:val="23"/>
          <w:szCs w:val="23"/>
        </w:rPr>
        <w:t>Consejería de Medio Ambiente, Universidades, Investigación y Mar Menor.</w:t>
      </w:r>
    </w:p>
    <w:p>
      <w:pPr>
        <w:pStyle w:val="Normal"/>
        <w:spacing w:lineRule="auto" w:line="276" w:before="0" w:after="140"/>
        <w:jc w:val="both"/>
        <w:rPr>
          <w:rFonts w:ascii="Times New Roman" w:hAnsi="Times New Roman"/>
          <w:color w:val="000000"/>
          <w:sz w:val="23"/>
          <w:szCs w:val="23"/>
        </w:rPr>
      </w:pPr>
      <w:r>
        <w:rPr>
          <w:rFonts w:ascii="Times New Roman" w:hAnsi="Times New Roman"/>
          <w:b/>
          <w:bCs/>
          <w:color w:val="000000"/>
          <w:sz w:val="23"/>
          <w:szCs w:val="23"/>
        </w:rPr>
        <w:t>Importe concedido:</w:t>
      </w:r>
      <w:r>
        <w:rPr>
          <w:rFonts w:ascii="Times New Roman" w:hAnsi="Times New Roman"/>
          <w:color w:val="000000"/>
          <w:sz w:val="23"/>
          <w:szCs w:val="23"/>
        </w:rPr>
        <w:t xml:space="preserve">  100.606,50€ (Correspondiente a la Línea 3:</w:t>
      </w:r>
      <w:r>
        <w:rPr>
          <w:rFonts w:cs="Open Sans" w:ascii="Open Sans" w:hAnsi="Open Sans"/>
          <w:color w:val="444444"/>
          <w:sz w:val="21"/>
          <w:szCs w:val="21"/>
          <w:shd w:fill="FFFFFF" w:val="clear"/>
        </w:rPr>
        <w:t xml:space="preserve"> </w:t>
      </w:r>
      <w:r>
        <w:rPr>
          <w:rFonts w:ascii="Times New Roman" w:hAnsi="Times New Roman"/>
          <w:color w:val="000000"/>
          <w:sz w:val="23"/>
          <w:szCs w:val="23"/>
        </w:rPr>
        <w:t>Proyectos de implantación o mejora de puntos limpios (ecoparques) y puntos limpios móviles).</w:t>
      </w:r>
    </w:p>
    <w:p>
      <w:pPr>
        <w:pStyle w:val="Normal"/>
        <w:spacing w:lineRule="auto" w:line="276" w:before="0" w:after="140"/>
        <w:jc w:val="both"/>
        <w:rPr>
          <w:rFonts w:ascii="Times New Roman" w:hAnsi="Times New Roman"/>
          <w:color w:val="000000"/>
          <w:sz w:val="23"/>
          <w:szCs w:val="23"/>
        </w:rPr>
      </w:pPr>
      <w:r>
        <w:rPr>
          <w:rFonts w:ascii="Times New Roman" w:hAnsi="Times New Roman"/>
          <w:b/>
          <w:bCs/>
          <w:color w:val="000000"/>
          <w:sz w:val="23"/>
          <w:szCs w:val="23"/>
        </w:rPr>
        <w:t xml:space="preserve">Estado de ejecución: </w:t>
      </w:r>
      <w:r>
        <w:rPr>
          <w:rFonts w:ascii="Times New Roman" w:hAnsi="Times New Roman"/>
          <w:color w:val="000000"/>
          <w:sz w:val="23"/>
          <w:szCs w:val="23"/>
        </w:rPr>
        <w:t xml:space="preserve">En desarrollo. </w:t>
      </w:r>
    </w:p>
    <w:p>
      <w:pPr>
        <w:pStyle w:val="Normal"/>
        <w:spacing w:lineRule="auto" w:line="276" w:before="0" w:after="140"/>
        <w:jc w:val="both"/>
        <w:rPr>
          <w:rFonts w:ascii="Times New Roman" w:hAnsi="Times New Roman"/>
          <w:color w:val="000000"/>
          <w:sz w:val="23"/>
          <w:szCs w:val="23"/>
        </w:rPr>
      </w:pPr>
      <w:r>
        <w:rPr>
          <w:rFonts w:ascii="Times New Roman" w:hAnsi="Times New Roman"/>
          <w:b/>
          <w:bCs/>
          <w:color w:val="000000"/>
          <w:sz w:val="23"/>
          <w:szCs w:val="23"/>
        </w:rPr>
        <w:t>Periodo de ejecución:</w:t>
      </w:r>
      <w:r>
        <w:rPr>
          <w:rFonts w:ascii="Times New Roman" w:hAnsi="Times New Roman"/>
          <w:color w:val="000000"/>
          <w:sz w:val="23"/>
          <w:szCs w:val="23"/>
        </w:rPr>
        <w:t xml:space="preserve"> Los beneficiarios justificarán el cumplimiento de la finalidad y de la aplicación material de los fondos percibidos, desde la finalización del plazo de ejecución hasta el 30 de junio de 2026, salvo que éste resulte ampliado para dar cumplimiento a una ampliación de plazos por parte del Ministerio para la Transición Ecológica y el Reto Demográfico, en cuyo caso se justificará con una antelación de un mes respecto a la fecha ampliada. La justificación de la subvención se ajustará a lo señalado en el artículo 30 de la Ley 38/2003, de 17 de noviembre, General de Subvenciones, y en lo establecido en el artículo 25 de la Ley 7/2005, de 18 de noviembre, de Subvenciones de la Comunidad Autónoma de la Región de Murcia</w:t>
      </w:r>
    </w:p>
    <w:p>
      <w:pPr>
        <w:pStyle w:val="Standard"/>
        <w:rPr>
          <w:sz w:val="26"/>
          <w:szCs w:val="26"/>
        </w:rPr>
      </w:pPr>
      <w:r>
        <w:rPr>
          <w:rFonts w:cs="Times New Roman"/>
          <w:b/>
          <w:bCs/>
          <w:sz w:val="26"/>
          <w:szCs w:val="26"/>
          <w:lang w:eastAsia="es-ES"/>
        </w:rPr>
        <w:t>7</w:t>
      </w:r>
      <w:r>
        <w:rPr>
          <w:rFonts w:cs="Times New Roman"/>
          <w:b/>
          <w:bCs/>
          <w:sz w:val="26"/>
          <w:szCs w:val="26"/>
          <w:lang w:eastAsia="es-ES"/>
        </w:rPr>
        <w:t>.- Localizador C21.I01.P01.S06.S29 Código Provisional C21.I01.P01.S06.PROVISIONAL.S36 Denominación PUERTO LUMBRERAS: INFANTIL 0-3 AÑOS-EMEI "ANA MARÍA SÁNCHEZ".</w:t>
      </w:r>
    </w:p>
    <w:p>
      <w:pPr>
        <w:pStyle w:val="Standard"/>
        <w:rPr>
          <w:rFonts w:cs="Times New Roman"/>
          <w:b/>
          <w:b/>
          <w:bCs/>
          <w:sz w:val="23"/>
          <w:szCs w:val="23"/>
          <w:lang w:eastAsia="es-ES"/>
        </w:rPr>
      </w:pPr>
      <w:r>
        <w:rPr>
          <w:rFonts w:cs="Times New Roman"/>
          <w:b/>
          <w:bCs/>
          <w:sz w:val="23"/>
          <w:szCs w:val="23"/>
          <w:lang w:eastAsia="es-ES"/>
        </w:rPr>
      </w:r>
    </w:p>
    <w:p>
      <w:pPr>
        <w:pStyle w:val="Standard"/>
        <w:rPr>
          <w:rFonts w:cs="Times New Roman"/>
          <w:b/>
          <w:b/>
          <w:bCs/>
          <w:sz w:val="23"/>
          <w:szCs w:val="23"/>
          <w:lang w:eastAsia="es-ES"/>
        </w:rPr>
      </w:pPr>
      <w:r>
        <w:rPr>
          <w:rFonts w:cs="Times New Roman"/>
          <w:b/>
          <w:bCs/>
          <w:sz w:val="23"/>
          <w:szCs w:val="23"/>
          <w:lang w:eastAsia="es-ES"/>
        </w:rPr>
        <w:t>Localizador C21.I01.P01.S06.S30 Código Provisional C21.I01.P01.S06.PROVISIONAL.S37 Denominación PUERTO LUMBRERAS: INFANTIL 0-3 AÑOS-EMEI "LA ESTACIÓN-ESPARRAGAL" .</w:t>
      </w:r>
    </w:p>
    <w:p>
      <w:pPr>
        <w:pStyle w:val="Standard"/>
        <w:rPr>
          <w:rFonts w:cs="Times New Roman"/>
          <w:b/>
          <w:b/>
          <w:bCs/>
          <w:sz w:val="23"/>
          <w:szCs w:val="23"/>
          <w:lang w:eastAsia="es-ES"/>
        </w:rPr>
      </w:pPr>
      <w:r>
        <w:rPr/>
      </w:r>
    </w:p>
    <w:p>
      <w:pPr>
        <w:pStyle w:val="Standard"/>
        <w:rPr>
          <w:rFonts w:cs="Times New Roman"/>
          <w:b/>
          <w:b/>
          <w:bCs/>
          <w:sz w:val="23"/>
          <w:szCs w:val="23"/>
          <w:lang w:eastAsia="es-ES"/>
        </w:rPr>
      </w:pPr>
      <w:r>
        <w:rPr>
          <w:rFonts w:cs="Times New Roman"/>
          <w:b/>
          <w:bCs/>
          <w:sz w:val="23"/>
          <w:szCs w:val="23"/>
          <w:lang w:eastAsia="es-ES"/>
        </w:rPr>
        <w:t xml:space="preserve">Publicación BDNS 626256 </w:t>
      </w:r>
    </w:p>
    <w:p>
      <w:pPr>
        <w:pStyle w:val="Standard"/>
        <w:rPr>
          <w:rFonts w:cs="Times New Roman"/>
          <w:b/>
          <w:b/>
          <w:bCs/>
          <w:sz w:val="23"/>
          <w:szCs w:val="23"/>
          <w:lang w:eastAsia="es-ES"/>
        </w:rPr>
      </w:pPr>
      <w:r>
        <w:rPr>
          <w:rFonts w:cs="Times New Roman"/>
          <w:b/>
          <w:bCs/>
          <w:sz w:val="23"/>
          <w:szCs w:val="23"/>
          <w:lang w:eastAsia="es-ES"/>
        </w:rPr>
      </w:r>
    </w:p>
    <w:p>
      <w:pPr>
        <w:pStyle w:val="Standard"/>
        <w:jc w:val="both"/>
        <w:rPr>
          <w:sz w:val="23"/>
          <w:szCs w:val="23"/>
        </w:rPr>
      </w:pPr>
      <w:r>
        <w:rPr>
          <w:rFonts w:cs="Times New Roman"/>
          <w:b/>
          <w:bCs/>
          <w:sz w:val="23"/>
          <w:szCs w:val="23"/>
          <w:lang w:eastAsia="es-ES"/>
        </w:rPr>
        <w:t>Subvención para gastos de funcionamiento de escuelas infantiles creadas en el marco del programa de impulso de escolarización en el primer ciclo de Educación Infantil con nuevas plazas de titularidad pública, prioritariamente para niños y niñas de 1 y 2 años, con cargo al Plan de Recuperación, Transformación y Resiliencia financiado por la Unión Europea, Next Generation EU. Administración convocante: Consejería de Educación y Formación Profesional.</w:t>
      </w:r>
    </w:p>
    <w:p>
      <w:pPr>
        <w:pStyle w:val="Standard"/>
        <w:jc w:val="both"/>
        <w:rPr>
          <w:rFonts w:cs="Times New Roman"/>
          <w:b/>
          <w:b/>
          <w:bCs/>
          <w:sz w:val="23"/>
          <w:szCs w:val="23"/>
          <w:lang w:eastAsia="es-ES"/>
        </w:rPr>
      </w:pPr>
      <w:r>
        <w:rPr>
          <w:rFonts w:cs="Times New Roman"/>
          <w:b/>
          <w:bCs/>
          <w:sz w:val="23"/>
          <w:szCs w:val="23"/>
          <w:lang w:eastAsia="es-ES"/>
        </w:rPr>
      </w:r>
    </w:p>
    <w:p>
      <w:pPr>
        <w:pStyle w:val="Standard"/>
        <w:jc w:val="both"/>
        <w:rPr>
          <w:sz w:val="23"/>
          <w:szCs w:val="23"/>
        </w:rPr>
      </w:pPr>
      <w:r>
        <w:rPr>
          <w:rFonts w:ascii="Times New Roman" w:hAnsi="Times New Roman"/>
          <w:b/>
          <w:bCs/>
          <w:color w:val="000000"/>
          <w:sz w:val="23"/>
          <w:szCs w:val="23"/>
        </w:rPr>
        <w:t>Descripción: Gastos de funcionamiento de las EMEIs “Ana María Sánchez” y “Estación-Esparragal”.</w:t>
      </w:r>
    </w:p>
    <w:p>
      <w:pPr>
        <w:pStyle w:val="Textbody"/>
        <w:jc w:val="both"/>
        <w:rPr>
          <w:rFonts w:ascii="Times New Roman" w:hAnsi="Times New Roman"/>
          <w:sz w:val="23"/>
          <w:szCs w:val="23"/>
        </w:rPr>
      </w:pPr>
      <w:r>
        <w:rPr>
          <w:rFonts w:ascii="Times New Roman" w:hAnsi="Times New Roman"/>
          <w:b/>
          <w:bCs/>
          <w:color w:val="000000"/>
          <w:sz w:val="23"/>
          <w:szCs w:val="23"/>
        </w:rPr>
        <w:t>mporte concedido:</w:t>
      </w:r>
      <w:r>
        <w:rPr>
          <w:rFonts w:ascii="Times New Roman" w:hAnsi="Times New Roman"/>
          <w:color w:val="000000"/>
          <w:sz w:val="23"/>
          <w:szCs w:val="23"/>
        </w:rPr>
        <w:t xml:space="preserve"> 1.000.277,12€</w:t>
      </w:r>
    </w:p>
    <w:p>
      <w:pPr>
        <w:pStyle w:val="Textbody"/>
        <w:jc w:val="both"/>
        <w:rPr>
          <w:rFonts w:ascii="Times New Roman" w:hAnsi="Times New Roman"/>
          <w:sz w:val="23"/>
          <w:szCs w:val="23"/>
        </w:rPr>
      </w:pPr>
      <w:r>
        <w:rPr>
          <w:rFonts w:ascii="Times New Roman" w:hAnsi="Times New Roman"/>
          <w:b/>
          <w:bCs/>
          <w:color w:val="000000"/>
          <w:sz w:val="23"/>
          <w:szCs w:val="23"/>
        </w:rPr>
        <w:t xml:space="preserve">Estado de ejecución: </w:t>
      </w:r>
      <w:r>
        <w:rPr>
          <w:rFonts w:ascii="Times New Roman" w:hAnsi="Times New Roman"/>
          <w:color w:val="000000"/>
          <w:sz w:val="23"/>
          <w:szCs w:val="23"/>
        </w:rPr>
        <w:t>En desarrollo.</w:t>
      </w:r>
    </w:p>
    <w:p>
      <w:pPr>
        <w:pStyle w:val="Textbody"/>
        <w:jc w:val="both"/>
        <w:rPr>
          <w:rFonts w:ascii="Times New Roman" w:hAnsi="Times New Roman"/>
          <w:color w:val="000000"/>
          <w:sz w:val="23"/>
          <w:szCs w:val="23"/>
        </w:rPr>
      </w:pPr>
      <w:r>
        <w:rPr>
          <w:rFonts w:ascii="Times New Roman" w:hAnsi="Times New Roman"/>
          <w:b/>
          <w:bCs/>
          <w:color w:val="000000"/>
          <w:sz w:val="23"/>
          <w:szCs w:val="23"/>
        </w:rPr>
        <w:t>Periodo de ejecución:</w:t>
      </w:r>
      <w:r>
        <w:rPr>
          <w:rFonts w:ascii="Times New Roman" w:hAnsi="Times New Roman"/>
          <w:color w:val="000000"/>
          <w:sz w:val="23"/>
          <w:szCs w:val="23"/>
        </w:rPr>
        <w:t xml:space="preserve"> 31.12.2025.</w:t>
      </w:r>
    </w:p>
    <w:p>
      <w:pPr>
        <w:pStyle w:val="Normal"/>
        <w:rPr>
          <w:rFonts w:cs="Times New Roman"/>
          <w:b/>
          <w:b/>
          <w:bCs/>
          <w:sz w:val="23"/>
          <w:szCs w:val="23"/>
          <w:lang w:eastAsia="es-ES"/>
        </w:rPr>
      </w:pPr>
      <w:r>
        <w:rPr/>
      </w:r>
    </w:p>
    <w:p>
      <w:pPr>
        <w:pStyle w:val="Normal"/>
        <w:rPr>
          <w:sz w:val="26"/>
          <w:szCs w:val="26"/>
        </w:rPr>
      </w:pPr>
      <w:r>
        <w:rPr>
          <w:rFonts w:ascii="Times New Roman" w:hAnsi="Times New Roman"/>
          <w:b/>
          <w:bCs/>
          <w:color w:val="000000"/>
          <w:sz w:val="26"/>
          <w:szCs w:val="26"/>
        </w:rPr>
        <w:t>8</w:t>
      </w:r>
      <w:r>
        <w:rPr>
          <w:rFonts w:ascii="Times New Roman" w:hAnsi="Times New Roman"/>
          <w:b/>
          <w:bCs/>
          <w:color w:val="000000"/>
          <w:sz w:val="26"/>
          <w:szCs w:val="26"/>
        </w:rPr>
        <w:t>.-</w:t>
      </w:r>
      <w:r>
        <w:rPr>
          <w:rFonts w:cs="Times New Roman"/>
          <w:b/>
          <w:bCs/>
          <w:sz w:val="26"/>
          <w:szCs w:val="26"/>
          <w:lang w:eastAsia="es-ES"/>
        </w:rPr>
        <w:t xml:space="preserve"> </w:t>
      </w:r>
      <w:bookmarkStart w:id="3" w:name="_Hlk220314828"/>
      <w:r>
        <w:rPr>
          <w:rFonts w:cs="Times New Roman"/>
          <w:b/>
          <w:bCs/>
          <w:sz w:val="26"/>
          <w:szCs w:val="26"/>
          <w:lang w:eastAsia="es-ES"/>
        </w:rPr>
        <w:t>Localizador C21.I01.P01.S06.S29.SI01 Código Provisional C21.I01.P01.S06.S29.PROVISIONAL.SI01 Denominación PUERTO LUMBRERAS: INFANTIL EJECUCIÓN GASTOS DE FUNCIONAMIENTO ANA MARÍA SÁNCHEZ</w:t>
      </w:r>
      <w:bookmarkEnd w:id="3"/>
      <w:r>
        <w:rPr>
          <w:rFonts w:cs="Times New Roman"/>
          <w:b/>
          <w:bCs/>
          <w:sz w:val="26"/>
          <w:szCs w:val="26"/>
          <w:lang w:eastAsia="es-ES"/>
        </w:rPr>
        <w:t xml:space="preserve"> .</w:t>
      </w:r>
    </w:p>
    <w:p>
      <w:pPr>
        <w:pStyle w:val="Normal"/>
        <w:rPr>
          <w:rFonts w:cs="Times New Roman"/>
          <w:b/>
          <w:b/>
          <w:bCs/>
          <w:sz w:val="23"/>
          <w:szCs w:val="23"/>
          <w:lang w:eastAsia="es-ES"/>
        </w:rPr>
      </w:pPr>
      <w:r>
        <w:rPr>
          <w:rFonts w:cs="Times New Roman"/>
          <w:b/>
          <w:bCs/>
          <w:sz w:val="23"/>
          <w:szCs w:val="23"/>
          <w:lang w:eastAsia="es-ES"/>
        </w:rPr>
      </w:r>
    </w:p>
    <w:p>
      <w:pPr>
        <w:pStyle w:val="Normal"/>
        <w:jc w:val="both"/>
        <w:rPr>
          <w:rFonts w:cs="Times New Roman"/>
          <w:b/>
          <w:b/>
          <w:bCs/>
          <w:sz w:val="23"/>
          <w:szCs w:val="23"/>
          <w:lang w:eastAsia="es-ES"/>
        </w:rPr>
      </w:pPr>
      <w:r>
        <w:rPr>
          <w:rFonts w:cs="Times New Roman"/>
          <w:b/>
          <w:bCs/>
          <w:sz w:val="23"/>
          <w:szCs w:val="23"/>
          <w:lang w:eastAsia="es-ES"/>
        </w:rPr>
        <w:t>Localizador C21.I01.P01.S06.S30.SI01 Código Provisional C21.I01.P01.S06.S30.PROVISIONAL.SI01 Denominación  PUERTO LUMBRERAS: INFANTIL EJECUCIÓN GASTOS DE FUNCIONAMIENTO LA ESTACIÓN – ESPARRAGAL</w:t>
      </w:r>
    </w:p>
    <w:p>
      <w:pPr>
        <w:pStyle w:val="Normal"/>
        <w:jc w:val="both"/>
        <w:rPr>
          <w:rFonts w:cs="Times New Roman"/>
          <w:b/>
          <w:b/>
          <w:bCs/>
          <w:sz w:val="23"/>
          <w:szCs w:val="23"/>
          <w:lang w:eastAsia="es-ES"/>
        </w:rPr>
      </w:pPr>
      <w:r>
        <w:rPr>
          <w:rFonts w:cs="Times New Roman"/>
          <w:b/>
          <w:bCs/>
          <w:sz w:val="23"/>
          <w:szCs w:val="23"/>
          <w:lang w:eastAsia="es-ES"/>
        </w:rPr>
      </w:r>
    </w:p>
    <w:p>
      <w:pPr>
        <w:pStyle w:val="Normal"/>
        <w:jc w:val="both"/>
        <w:rPr>
          <w:rFonts w:cs="Times New Roman"/>
          <w:b/>
          <w:b/>
          <w:bCs/>
          <w:sz w:val="23"/>
          <w:szCs w:val="23"/>
          <w:lang w:eastAsia="es-ES"/>
        </w:rPr>
      </w:pPr>
      <w:r>
        <w:rPr>
          <w:rFonts w:cs="Times New Roman"/>
          <w:b/>
          <w:bCs/>
          <w:sz w:val="23"/>
          <w:szCs w:val="23"/>
          <w:lang w:eastAsia="es-ES"/>
        </w:rPr>
        <w:t>Localizador:       Código Provisional C21.I01.P01.S06.S26.PROVISIONAL.SI01 Denominación C21.I01.P01.S06.S26 - PUERTO LUMBRERAS -REHABILITACIÓN/AMPLIACIÓN AULAS DE INFANTIL 0 - 3 AÑOS-EMEI "JUAN LÓPEZ"</w:t>
      </w:r>
    </w:p>
    <w:p>
      <w:pPr>
        <w:pStyle w:val="Normal"/>
        <w:jc w:val="both"/>
        <w:rPr>
          <w:rFonts w:cs="Times New Roman"/>
          <w:b/>
          <w:b/>
          <w:bCs/>
          <w:sz w:val="23"/>
          <w:szCs w:val="23"/>
          <w:lang w:eastAsia="es-ES"/>
        </w:rPr>
      </w:pPr>
      <w:r>
        <w:rPr>
          <w:rFonts w:cs="Times New Roman"/>
          <w:b/>
          <w:bCs/>
          <w:sz w:val="23"/>
          <w:szCs w:val="23"/>
          <w:lang w:eastAsia="es-ES"/>
        </w:rPr>
      </w:r>
    </w:p>
    <w:p>
      <w:pPr>
        <w:pStyle w:val="Normal"/>
        <w:jc w:val="both"/>
        <w:rPr>
          <w:rFonts w:cs="Times New Roman"/>
          <w:b/>
          <w:b/>
          <w:bCs/>
          <w:sz w:val="23"/>
          <w:szCs w:val="23"/>
          <w:lang w:eastAsia="es-ES"/>
        </w:rPr>
      </w:pPr>
      <w:r>
        <w:rPr>
          <w:rFonts w:cs="Times New Roman"/>
          <w:b/>
          <w:bCs/>
          <w:sz w:val="23"/>
          <w:szCs w:val="23"/>
          <w:lang w:eastAsia="es-ES"/>
        </w:rPr>
        <w:t xml:space="preserve">Publicación BDNS 877082 </w:t>
      </w:r>
    </w:p>
    <w:p>
      <w:pPr>
        <w:pStyle w:val="Normal"/>
        <w:jc w:val="both"/>
        <w:rPr>
          <w:rFonts w:cs="Times New Roman"/>
          <w:b/>
          <w:b/>
          <w:bCs/>
          <w:sz w:val="23"/>
          <w:szCs w:val="23"/>
          <w:lang w:eastAsia="es-ES"/>
        </w:rPr>
      </w:pPr>
      <w:bookmarkStart w:id="4" w:name="_Hlk220315089"/>
      <w:r>
        <w:rPr>
          <w:rFonts w:cs="Times New Roman"/>
          <w:b/>
          <w:bCs/>
          <w:sz w:val="23"/>
          <w:szCs w:val="23"/>
          <w:lang w:eastAsia="es-ES"/>
        </w:rPr>
        <w:t>Decreto n.º 289/2025, de 18 de diciembre, por el que se establecen las normas especiales reguladoras de la concesión directa de subvenciones a los Ayuntamientos de Aledo, Alguazas, Alhama de Murcia, Archena, Beniel, Blanca, Bullas, Cartagena, Fortuna, Fuente Álamo, Las Torres de Cotillas, Lorca, Lorquí, Los Alcázares, Moratalla, Mula, Pliego, Puerto Lumbreras, Santomera, Totana y Villanueva del Río Segura y a la Escuela Infantil de la Universidad de Murcia para gastos de funcionamiento de las escuelas infantiles autorizadas en el marco del programa de impulso de escolarización en el primer ciclo de Educación Infantil con nuevas plazas de titularidad pública, prioritariamente para niños y niñas de 1 y 2 años, con cargo al Plan de Recuperación, Transformación y Resiliencia financiado por La Unión Europea, NEXT GENERATION EU.</w:t>
      </w:r>
      <w:bookmarkEnd w:id="4"/>
    </w:p>
    <w:p>
      <w:pPr>
        <w:pStyle w:val="Normal"/>
        <w:jc w:val="both"/>
        <w:rPr>
          <w:rFonts w:cs="Times New Roman"/>
          <w:b/>
          <w:b/>
          <w:bCs/>
          <w:sz w:val="23"/>
          <w:szCs w:val="23"/>
          <w:lang w:eastAsia="es-ES"/>
        </w:rPr>
      </w:pPr>
      <w:r>
        <w:rPr>
          <w:rFonts w:cs="Times New Roman"/>
          <w:b/>
          <w:bCs/>
          <w:sz w:val="23"/>
          <w:szCs w:val="23"/>
          <w:lang w:eastAsia="es-ES"/>
        </w:rPr>
      </w:r>
    </w:p>
    <w:p>
      <w:pPr>
        <w:pStyle w:val="Normal"/>
        <w:jc w:val="both"/>
        <w:rPr>
          <w:sz w:val="23"/>
          <w:szCs w:val="23"/>
        </w:rPr>
      </w:pPr>
      <w:bookmarkStart w:id="5" w:name="_Hlk220315134"/>
      <w:r>
        <w:rPr>
          <w:rFonts w:cs="Times New Roman"/>
          <w:b/>
          <w:bCs/>
          <w:sz w:val="23"/>
          <w:szCs w:val="23"/>
          <w:lang w:eastAsia="es-ES"/>
        </w:rPr>
        <w:t>Subvención para gastos de funcionamiento de escuelas infantiles creadas en el marco del programa de impulso de escolarización en el primer ciclo de Educación Infantil con nuevas plazas de titularidad pública, prioritariamente para niños y niñas de 1 y 2 años, con cargo al Plan de Recuperación, Transformación y Resiliencia financiado por la Unión Europea, Next Generation EU. Administración convocante: Consejería de Educación y Formación Profesional.</w:t>
      </w:r>
      <w:bookmarkEnd w:id="5"/>
    </w:p>
    <w:p>
      <w:pPr>
        <w:pStyle w:val="Normal"/>
        <w:jc w:val="both"/>
        <w:rPr>
          <w:rFonts w:cs="Times New Roman"/>
          <w:b/>
          <w:b/>
          <w:bCs/>
          <w:sz w:val="23"/>
          <w:szCs w:val="23"/>
          <w:lang w:eastAsia="es-ES"/>
        </w:rPr>
      </w:pPr>
      <w:r>
        <w:rPr>
          <w:rFonts w:cs="Times New Roman"/>
          <w:b/>
          <w:bCs/>
          <w:sz w:val="23"/>
          <w:szCs w:val="23"/>
          <w:lang w:eastAsia="es-ES"/>
        </w:rPr>
      </w:r>
    </w:p>
    <w:p>
      <w:pPr>
        <w:pStyle w:val="Normal"/>
        <w:jc w:val="both"/>
        <w:rPr>
          <w:sz w:val="23"/>
          <w:szCs w:val="23"/>
        </w:rPr>
      </w:pPr>
      <w:r>
        <w:rPr>
          <w:rFonts w:ascii="Times New Roman" w:hAnsi="Times New Roman"/>
          <w:b/>
          <w:bCs/>
          <w:color w:val="000000"/>
          <w:sz w:val="23"/>
          <w:szCs w:val="23"/>
        </w:rPr>
        <w:t>Descripción: Gastos de funcionamiento de las EMEIs “Ana María Sánchez”,“Estación-Esparragal”y “Juan López”.</w:t>
      </w:r>
    </w:p>
    <w:p>
      <w:pPr>
        <w:pStyle w:val="Normal"/>
        <w:spacing w:lineRule="auto" w:line="276" w:before="0" w:after="140"/>
        <w:jc w:val="both"/>
        <w:rPr>
          <w:rFonts w:ascii="Times New Roman" w:hAnsi="Times New Roman"/>
          <w:b/>
          <w:b/>
          <w:bCs/>
          <w:color w:val="000000"/>
          <w:sz w:val="23"/>
          <w:szCs w:val="23"/>
        </w:rPr>
      </w:pPr>
      <w:r>
        <w:rPr>
          <w:rFonts w:ascii="Times New Roman" w:hAnsi="Times New Roman"/>
          <w:b/>
          <w:bCs/>
          <w:color w:val="000000"/>
          <w:sz w:val="23"/>
          <w:szCs w:val="23"/>
        </w:rPr>
      </w:r>
    </w:p>
    <w:p>
      <w:pPr>
        <w:pStyle w:val="Normal"/>
        <w:spacing w:lineRule="auto" w:line="276" w:before="0" w:after="140"/>
        <w:jc w:val="both"/>
        <w:rPr>
          <w:rFonts w:ascii="Times New Roman" w:hAnsi="Times New Roman"/>
          <w:color w:val="000000"/>
          <w:sz w:val="23"/>
          <w:szCs w:val="23"/>
        </w:rPr>
      </w:pPr>
      <w:bookmarkStart w:id="6" w:name="_Hlk220315178"/>
      <w:r>
        <w:rPr>
          <w:rFonts w:ascii="Times New Roman" w:hAnsi="Times New Roman"/>
          <w:b/>
          <w:bCs/>
          <w:color w:val="000000"/>
          <w:sz w:val="23"/>
          <w:szCs w:val="23"/>
        </w:rPr>
        <w:t>Importe concedido:</w:t>
      </w:r>
      <w:r>
        <w:rPr>
          <w:rFonts w:ascii="Times New Roman" w:hAnsi="Times New Roman"/>
          <w:color w:val="000000"/>
          <w:sz w:val="23"/>
          <w:szCs w:val="23"/>
        </w:rPr>
        <w:t xml:space="preserve"> MRR ENERO/FEBRERO 2026: 70.000 € (EMEI Ana María Sánchez) + 39.500 € (EMEI La Estación – Esparragal) + 36.000 € (EMEI Juan López).</w:t>
      </w:r>
    </w:p>
    <w:p>
      <w:pPr>
        <w:pStyle w:val="Normal"/>
        <w:spacing w:lineRule="auto" w:line="276" w:before="0" w:after="140"/>
        <w:jc w:val="both"/>
        <w:rPr>
          <w:rFonts w:ascii="Times New Roman" w:hAnsi="Times New Roman"/>
          <w:sz w:val="23"/>
          <w:szCs w:val="23"/>
        </w:rPr>
      </w:pPr>
      <w:r>
        <w:rPr>
          <w:rFonts w:ascii="Times New Roman" w:hAnsi="Times New Roman"/>
          <w:color w:val="000000"/>
          <w:sz w:val="23"/>
          <w:szCs w:val="23"/>
        </w:rPr>
        <w:t>FONDOS PROPIOS CARM MARZO/DICIEMBRE 2026: 350.000 € (EMEI Ana María Sánchez) + 197.500 € (EMEI La Estación – Esparragal) + 180.000 € (EMEI Juan López).</w:t>
      </w:r>
    </w:p>
    <w:p>
      <w:pPr>
        <w:pStyle w:val="Normal"/>
        <w:spacing w:lineRule="auto" w:line="276" w:before="0" w:after="140"/>
        <w:jc w:val="both"/>
        <w:rPr>
          <w:rFonts w:ascii="Times New Roman" w:hAnsi="Times New Roman"/>
          <w:color w:val="000000"/>
          <w:sz w:val="23"/>
          <w:szCs w:val="23"/>
        </w:rPr>
      </w:pPr>
      <w:r>
        <w:rPr>
          <w:rFonts w:ascii="Times New Roman" w:hAnsi="Times New Roman"/>
          <w:b/>
          <w:bCs/>
          <w:color w:val="000000"/>
          <w:sz w:val="23"/>
          <w:szCs w:val="23"/>
        </w:rPr>
        <w:t xml:space="preserve">Estado de ejecución: </w:t>
      </w:r>
      <w:r>
        <w:rPr>
          <w:rFonts w:ascii="Times New Roman" w:hAnsi="Times New Roman"/>
          <w:color w:val="000000"/>
          <w:sz w:val="23"/>
          <w:szCs w:val="23"/>
        </w:rPr>
        <w:t>En desarrollo. Tanto los gastos de personal como los gastos corrientes y de servicios a justificar deberán realizarse desde el 1 de enero de 2026 y hasta el 31 de diciembre de 2026, justificando los mismos de acuerdo a los periodos establecidos en el siguiente punto.</w:t>
      </w:r>
    </w:p>
    <w:p>
      <w:pPr>
        <w:pStyle w:val="Normal"/>
        <w:spacing w:lineRule="auto" w:line="276" w:before="0" w:after="140"/>
        <w:jc w:val="both"/>
        <w:rPr>
          <w:rFonts w:ascii="Times New Roman" w:hAnsi="Times New Roman"/>
          <w:sz w:val="23"/>
          <w:szCs w:val="23"/>
        </w:rPr>
      </w:pPr>
      <w:r>
        <w:rPr>
          <w:rFonts w:ascii="Times New Roman" w:hAnsi="Times New Roman"/>
          <w:sz w:val="23"/>
          <w:szCs w:val="23"/>
        </w:rPr>
        <w:t>Para los fondos procedentes del Mecanismo de Recuperación y Resiliencia, esto es, para los gastos realizados entre el 1 de enero y el 28 de febrero de 2026, antes del 15 de marzo de 2026.</w:t>
      </w:r>
    </w:p>
    <w:p>
      <w:pPr>
        <w:pStyle w:val="Normal"/>
        <w:spacing w:lineRule="auto" w:line="276" w:before="0" w:after="140"/>
        <w:jc w:val="both"/>
        <w:rPr>
          <w:rFonts w:ascii="Times New Roman" w:hAnsi="Times New Roman"/>
          <w:sz w:val="23"/>
          <w:szCs w:val="23"/>
        </w:rPr>
      </w:pPr>
      <w:r>
        <w:rPr>
          <w:rFonts w:ascii="Times New Roman" w:hAnsi="Times New Roman"/>
          <w:sz w:val="23"/>
          <w:szCs w:val="23"/>
        </w:rPr>
        <w:t>Para los fondos propios de la Comunidad Autónoma, esto es, para los gastos realizados entre el 1 de marzo de 2026 y el 31 de diciembre de 2026, antes del 1 de marzo de 2027, pudiendo ampliarse por el órgano concedente, previa solicitud, a la Dirección General de Centros Educativos e Infraestructuras en los términos del artículo 70 del Reglamento de la Ley 38/2003, de 17 de noviembre, General de Subvenciones aprobado por Real Decreto 887/2006, de 21 de julio.</w:t>
      </w:r>
    </w:p>
    <w:p>
      <w:pPr>
        <w:pStyle w:val="Normal"/>
        <w:spacing w:lineRule="auto" w:line="276" w:before="0" w:after="140"/>
        <w:jc w:val="both"/>
        <w:rPr>
          <w:rFonts w:ascii="Times New Roman" w:hAnsi="Times New Roman"/>
          <w:color w:val="000000"/>
          <w:sz w:val="23"/>
          <w:szCs w:val="23"/>
        </w:rPr>
      </w:pPr>
      <w:r>
        <w:rPr>
          <w:rFonts w:ascii="Times New Roman" w:hAnsi="Times New Roman"/>
          <w:b/>
          <w:bCs/>
          <w:color w:val="000000"/>
          <w:sz w:val="23"/>
          <w:szCs w:val="23"/>
        </w:rPr>
        <w:t>Periodo de ejecución:</w:t>
      </w:r>
      <w:r>
        <w:rPr>
          <w:rFonts w:ascii="Times New Roman" w:hAnsi="Times New Roman"/>
          <w:color w:val="000000"/>
          <w:sz w:val="23"/>
          <w:szCs w:val="23"/>
        </w:rPr>
        <w:t xml:space="preserve"> Gastos realizados entre el 1 de enero y el 28 de febrero, justificación antes del 15 de marzo de 2026.</w:t>
      </w:r>
      <w:bookmarkEnd w:id="6"/>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Open Sans">
    <w:charset w:val="00"/>
    <w:family w:val="roman"/>
    <w:pitch w:val="variable"/>
  </w:font>
</w:fonts>
</file>

<file path=word/settings.xml><?xml version="1.0" encoding="utf-8"?>
<w:settings xmlns:w="http://schemas.openxmlformats.org/wordprocessingml/2006/main">
  <w:zoom w:percent="2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s-E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textAlignment w:val="baseline"/>
    </w:pPr>
    <w:rPr>
      <w:rFonts w:ascii="Liberation Serif" w:hAnsi="Liberation Serif" w:eastAsia="NSimSun" w:cs="Arial"/>
      <w:color w:val="auto"/>
      <w:kern w:val="2"/>
      <w:sz w:val="24"/>
      <w:szCs w:val="24"/>
      <w:lang w:val="es-ES" w:eastAsia="zh-CN" w:bidi="hi-IN"/>
    </w:rPr>
  </w:style>
  <w:style w:type="paragraph" w:styleId="Ttulo1">
    <w:name w:val="Heading 1"/>
    <w:basedOn w:val="Normal"/>
    <w:next w:val="Normal"/>
    <w:link w:val="Ttulo1Car"/>
    <w:uiPriority w:val="9"/>
    <w:qFormat/>
    <w:rsid w:val="004658bf"/>
    <w:pPr>
      <w:keepNext w:val="true"/>
      <w:keepLines/>
      <w:spacing w:before="240" w:after="0"/>
      <w:outlineLvl w:val="0"/>
    </w:pPr>
    <w:rPr>
      <w:rFonts w:ascii="Calibri Light" w:hAnsi="Calibri Light" w:eastAsia="" w:cs="Mangal" w:asciiTheme="majorHAnsi" w:eastAsiaTheme="majorEastAsia" w:hAnsiTheme="majorHAnsi"/>
      <w:color w:val="2F5496" w:themeColor="accent1" w:themeShade="bf"/>
      <w:sz w:val="32"/>
      <w:szCs w:val="29"/>
    </w:rPr>
  </w:style>
  <w:style w:type="paragraph" w:styleId="Ttulo4">
    <w:name w:val="Heading 4"/>
    <w:basedOn w:val="Ttulo"/>
    <w:next w:val="Textbody"/>
    <w:uiPriority w:val="9"/>
    <w:semiHidden/>
    <w:unhideWhenUsed/>
    <w:qFormat/>
    <w:pPr>
      <w:spacing w:before="120" w:after="120"/>
      <w:outlineLvl w:val="3"/>
    </w:pPr>
    <w:rPr>
      <w:rFonts w:ascii="Liberation Serif" w:hAnsi="Liberation Serif" w:eastAsia="NSimSun" w:cs="Lucida Sans"/>
      <w:b/>
      <w:bCs/>
      <w:sz w:val="24"/>
      <w:szCs w:val="24"/>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qFormat/>
    <w:rsid w:val="00e42a8f"/>
    <w:rPr>
      <w:rFonts w:cs="Mangal"/>
      <w:szCs w:val="21"/>
    </w:rPr>
  </w:style>
  <w:style w:type="character" w:styleId="PiedepginaCar" w:customStyle="1">
    <w:name w:val="Pie de página Car"/>
    <w:basedOn w:val="DefaultParagraphFont"/>
    <w:uiPriority w:val="99"/>
    <w:qFormat/>
    <w:rsid w:val="00e42a8f"/>
    <w:rPr>
      <w:rFonts w:cs="Mangal"/>
      <w:szCs w:val="21"/>
    </w:rPr>
  </w:style>
  <w:style w:type="character" w:styleId="Ttulo1Car" w:customStyle="1">
    <w:name w:val="Título 1 Car"/>
    <w:basedOn w:val="DefaultParagraphFont"/>
    <w:uiPriority w:val="9"/>
    <w:qFormat/>
    <w:rsid w:val="004658bf"/>
    <w:rPr>
      <w:rFonts w:ascii="Calibri Light" w:hAnsi="Calibri Light" w:eastAsia="" w:cs="Mangal" w:asciiTheme="majorHAnsi" w:eastAsiaTheme="majorEastAsia" w:hAnsiTheme="majorHAnsi"/>
      <w:color w:val="2F5496" w:themeColor="accent1" w:themeShade="bf"/>
      <w:sz w:val="32"/>
      <w:szCs w:val="29"/>
    </w:rPr>
  </w:style>
  <w:style w:type="paragraph" w:styleId="Ttulo" w:customStyle="1">
    <w:name w:val="Título"/>
    <w:basedOn w:val="Standard"/>
    <w:next w:val="Textbody"/>
    <w:qFormat/>
    <w:pPr>
      <w:keepNext w:val="true"/>
      <w:spacing w:before="240" w:after="120"/>
    </w:pPr>
    <w:rPr>
      <w:rFonts w:ascii="Liberation Sans" w:hAnsi="Liberation Sans" w:eastAsia="Microsoft YaHei"/>
      <w:sz w:val="28"/>
      <w:szCs w:val="28"/>
    </w:rPr>
  </w:style>
  <w:style w:type="paragraph" w:styleId="Cuerpodetexto">
    <w:name w:val="Body Text"/>
    <w:basedOn w:val="Normal"/>
    <w:pPr>
      <w:spacing w:lineRule="auto" w:line="276" w:before="0" w:after="140"/>
    </w:pPr>
    <w:rPr/>
  </w:style>
  <w:style w:type="paragraph" w:styleId="Lista">
    <w:name w:val="List"/>
    <w:basedOn w:val="Textbody"/>
    <w:pPr/>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Standard"/>
    <w:qFormat/>
    <w:pPr>
      <w:suppressLineNumbers/>
    </w:pPr>
    <w:rPr/>
  </w:style>
  <w:style w:type="paragraph" w:styleId="Standard" w:customStyle="1">
    <w:name w:val="Standard"/>
    <w:qFormat/>
    <w:pPr>
      <w:widowControl/>
      <w:suppressAutoHyphens w:val="true"/>
      <w:bidi w:val="0"/>
      <w:spacing w:before="0" w:after="0"/>
      <w:jc w:val="left"/>
      <w:textAlignment w:val="baseline"/>
    </w:pPr>
    <w:rPr>
      <w:rFonts w:ascii="Liberation Serif" w:hAnsi="Liberation Serif" w:eastAsia="NSimSun" w:cs="Arial"/>
      <w:color w:val="auto"/>
      <w:kern w:val="2"/>
      <w:sz w:val="24"/>
      <w:szCs w:val="24"/>
      <w:lang w:val="es-ES" w:eastAsia="zh-CN" w:bidi="hi-IN"/>
    </w:rPr>
  </w:style>
  <w:style w:type="paragraph" w:styleId="Textbody" w:customStyle="1">
    <w:name w:val="Text body"/>
    <w:basedOn w:val="Standard"/>
    <w:qFormat/>
    <w:pPr>
      <w:spacing w:lineRule="auto" w:line="276" w:before="0" w:after="140"/>
    </w:pPr>
    <w:rPr/>
  </w:style>
  <w:style w:type="paragraph" w:styleId="Caption">
    <w:name w:val="caption"/>
    <w:basedOn w:val="Standard"/>
    <w:qFormat/>
    <w:pPr>
      <w:suppressLineNumbers/>
      <w:spacing w:before="120" w:after="120"/>
    </w:pPr>
    <w:rPr>
      <w:i/>
      <w:iCs/>
    </w:rPr>
  </w:style>
  <w:style w:type="paragraph" w:styleId="ListParagraph">
    <w:name w:val="List Paragraph"/>
    <w:basedOn w:val="Standard"/>
    <w:qFormat/>
    <w:pPr>
      <w:spacing w:before="0" w:after="0"/>
      <w:ind w:left="720" w:hanging="0"/>
      <w:contextualSpacing/>
    </w:pPr>
    <w:rPr/>
  </w:style>
  <w:style w:type="paragraph" w:styleId="Cabeceraypie">
    <w:name w:val="Cabecera y pie"/>
    <w:basedOn w:val="Normal"/>
    <w:qFormat/>
    <w:pPr/>
    <w:rPr/>
  </w:style>
  <w:style w:type="paragraph" w:styleId="Cabecera">
    <w:name w:val="Header"/>
    <w:basedOn w:val="Normal"/>
    <w:link w:val="EncabezadoCar"/>
    <w:uiPriority w:val="99"/>
    <w:unhideWhenUsed/>
    <w:rsid w:val="00e42a8f"/>
    <w:pPr>
      <w:tabs>
        <w:tab w:val="clear" w:pos="709"/>
        <w:tab w:val="center" w:pos="4252" w:leader="none"/>
        <w:tab w:val="right" w:pos="8504" w:leader="none"/>
      </w:tabs>
    </w:pPr>
    <w:rPr>
      <w:rFonts w:cs="Mangal"/>
      <w:szCs w:val="21"/>
    </w:rPr>
  </w:style>
  <w:style w:type="paragraph" w:styleId="Piedepgina">
    <w:name w:val="Footer"/>
    <w:basedOn w:val="Normal"/>
    <w:link w:val="PiedepginaCar"/>
    <w:uiPriority w:val="99"/>
    <w:unhideWhenUsed/>
    <w:rsid w:val="00e42a8f"/>
    <w:pPr>
      <w:tabs>
        <w:tab w:val="clear" w:pos="709"/>
        <w:tab w:val="center" w:pos="4252" w:leader="none"/>
        <w:tab w:val="right" w:pos="8504" w:leader="none"/>
      </w:tabs>
    </w:pPr>
    <w:rPr>
      <w:rFonts w:cs="Mangal"/>
      <w:szCs w:val="21"/>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ee502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Application>LibreOffice/7.3.1.3$Windows_X86_64 LibreOffice_project/a69ca51ded25f3eefd52d7bf9a5fad8c90b87951</Application>
  <AppVersion>15.0000</AppVersion>
  <Pages>7</Pages>
  <Words>2448</Words>
  <Characters>14412</Characters>
  <CharactersWithSpaces>16842</CharactersWithSpaces>
  <Paragraphs>100</Paragraphs>
  <Company>Grupo TRAGSA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2025-10-27T11:38:00Z</dcterms:created>
  <dc:creator>Raya Frutos, Francisco Javier</dc:creator>
  <dc:description/>
  <dc:language>es-ES</dc:language>
  <cp:lastModifiedBy/>
  <cp:lastPrinted>2026-01-28T09:46:15Z</cp:lastPrinted>
  <dcterms:modified xsi:type="dcterms:W3CDTF">2026-01-28T11:11:22Z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